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PlainTable21"/>
        <w:tblW w:w="14976" w:type="dxa"/>
        <w:tblInd w:w="-342" w:type="dxa"/>
        <w:tblLayout w:type="fixed"/>
        <w:tblLook w:val="04A0" w:firstRow="1" w:lastRow="0" w:firstColumn="1" w:lastColumn="0" w:noHBand="0" w:noVBand="1"/>
      </w:tblPr>
      <w:tblGrid>
        <w:gridCol w:w="678"/>
        <w:gridCol w:w="1580"/>
        <w:gridCol w:w="1579"/>
        <w:gridCol w:w="1579"/>
        <w:gridCol w:w="1481"/>
        <w:gridCol w:w="1509"/>
        <w:gridCol w:w="2664"/>
        <w:gridCol w:w="2700"/>
        <w:gridCol w:w="1206"/>
      </w:tblGrid>
      <w:tr w:rsidR="003202F1" w:rsidRPr="00FD71BF" w14:paraId="5A36694B" w14:textId="77777777" w:rsidTr="00FE6F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2E9C0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S/No</w:t>
            </w:r>
          </w:p>
        </w:tc>
        <w:tc>
          <w:tcPr>
            <w:tcW w:w="1580" w:type="dxa"/>
          </w:tcPr>
          <w:p w14:paraId="2C7B26DF" w14:textId="77777777" w:rsidR="003202F1" w:rsidRPr="00FD71BF" w:rsidRDefault="003202F1" w:rsidP="00F5335E">
            <w:pPr>
              <w:pStyle w:val="MDPI42tablebody"/>
              <w:tabs>
                <w:tab w:val="left" w:pos="1208"/>
              </w:tabs>
              <w:spacing w:line="240" w:lineRule="auto"/>
              <w:ind w:hanging="29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Reference </w:t>
            </w:r>
          </w:p>
        </w:tc>
        <w:tc>
          <w:tcPr>
            <w:tcW w:w="1579" w:type="dxa"/>
          </w:tcPr>
          <w:p w14:paraId="0B8EFDC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Type of paper</w:t>
            </w:r>
          </w:p>
        </w:tc>
        <w:tc>
          <w:tcPr>
            <w:tcW w:w="1579" w:type="dxa"/>
          </w:tcPr>
          <w:p w14:paraId="07AB4B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Principle/</w:t>
            </w:r>
          </w:p>
          <w:p w14:paraId="517110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Theme </w:t>
            </w:r>
          </w:p>
        </w:tc>
        <w:tc>
          <w:tcPr>
            <w:tcW w:w="1481" w:type="dxa"/>
          </w:tcPr>
          <w:p w14:paraId="799CE0E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Affiliation of the 1</w:t>
            </w:r>
            <w:r w:rsidRPr="00FD71BF">
              <w:rPr>
                <w:rFonts w:cstheme="minorHAnsi"/>
                <w:sz w:val="16"/>
                <w:szCs w:val="16"/>
                <w:vertAlign w:val="superscript"/>
              </w:rPr>
              <w:t>st</w:t>
            </w:r>
            <w:r w:rsidRPr="00FD71BF">
              <w:rPr>
                <w:rFonts w:cstheme="minorHAnsi"/>
                <w:sz w:val="16"/>
                <w:szCs w:val="16"/>
              </w:rPr>
              <w:t xml:space="preserve"> Author</w:t>
            </w:r>
          </w:p>
        </w:tc>
        <w:tc>
          <w:tcPr>
            <w:tcW w:w="1509" w:type="dxa"/>
          </w:tcPr>
          <w:p w14:paraId="126C01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Focus area/</w:t>
            </w:r>
          </w:p>
          <w:p w14:paraId="549510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Discipline </w:t>
            </w:r>
          </w:p>
        </w:tc>
        <w:tc>
          <w:tcPr>
            <w:tcW w:w="2664" w:type="dxa"/>
          </w:tcPr>
          <w:p w14:paraId="759DD3DF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Scholarly Contribution/</w:t>
            </w:r>
          </w:p>
          <w:p w14:paraId="42D603AE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Key findings  </w:t>
            </w:r>
          </w:p>
        </w:tc>
        <w:tc>
          <w:tcPr>
            <w:tcW w:w="2700" w:type="dxa"/>
          </w:tcPr>
          <w:p w14:paraId="2757F2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Vacuum of knowledge/Further research </w:t>
            </w:r>
          </w:p>
          <w:p w14:paraId="740B162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Implied/recommended   </w:t>
            </w:r>
          </w:p>
        </w:tc>
        <w:tc>
          <w:tcPr>
            <w:tcW w:w="1206" w:type="dxa"/>
          </w:tcPr>
          <w:p w14:paraId="685D31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 Gap</w:t>
            </w:r>
          </w:p>
        </w:tc>
      </w:tr>
      <w:tr w:rsidR="003202F1" w:rsidRPr="00FD71BF" w14:paraId="2BEE1D5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472394F" w14:textId="3DDD4D0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1580" w:type="dxa"/>
          </w:tcPr>
          <w:p w14:paraId="5D0D8E7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Lyngby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(2008)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[89] </w:t>
            </w:r>
          </w:p>
        </w:tc>
        <w:tc>
          <w:tcPr>
            <w:tcW w:w="1579" w:type="dxa"/>
          </w:tcPr>
          <w:p w14:paraId="6C1EAA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F76E06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Economies f sale </w:t>
            </w:r>
          </w:p>
        </w:tc>
        <w:tc>
          <w:tcPr>
            <w:tcW w:w="1481" w:type="dxa"/>
          </w:tcPr>
          <w:p w14:paraId="3E8B7FE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Denmark</w:t>
            </w:r>
          </w:p>
        </w:tc>
        <w:tc>
          <w:tcPr>
            <w:tcW w:w="1509" w:type="dxa"/>
          </w:tcPr>
          <w:p w14:paraId="08B6621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Project management</w:t>
            </w:r>
          </w:p>
        </w:tc>
        <w:tc>
          <w:tcPr>
            <w:tcW w:w="2664" w:type="dxa"/>
          </w:tcPr>
          <w:p w14:paraId="57DEB7EB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>Coordinated Purchasing</w:t>
            </w:r>
          </w:p>
        </w:tc>
        <w:tc>
          <w:tcPr>
            <w:tcW w:w="2700" w:type="dxa"/>
          </w:tcPr>
          <w:p w14:paraId="164293D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Coordinated purchasing of circular materials</w:t>
            </w:r>
          </w:p>
        </w:tc>
        <w:tc>
          <w:tcPr>
            <w:tcW w:w="1206" w:type="dxa"/>
          </w:tcPr>
          <w:p w14:paraId="132EF81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  <w:p w14:paraId="0BF0B22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65483E89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8E8506B" w14:textId="6DE19083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1580" w:type="dxa"/>
          </w:tcPr>
          <w:p w14:paraId="3362137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Lundberg, K et al, 2009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[31]</w:t>
            </w:r>
          </w:p>
        </w:tc>
        <w:tc>
          <w:tcPr>
            <w:tcW w:w="1579" w:type="dxa"/>
          </w:tcPr>
          <w:p w14:paraId="5491294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 article</w:t>
            </w:r>
          </w:p>
        </w:tc>
        <w:tc>
          <w:tcPr>
            <w:tcW w:w="1579" w:type="dxa"/>
          </w:tcPr>
          <w:p w14:paraId="5FE93D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Measurement</w:t>
            </w:r>
          </w:p>
        </w:tc>
        <w:tc>
          <w:tcPr>
            <w:tcW w:w="1481" w:type="dxa"/>
          </w:tcPr>
          <w:p w14:paraId="11FC11C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Sweden </w:t>
            </w:r>
          </w:p>
        </w:tc>
        <w:tc>
          <w:tcPr>
            <w:tcW w:w="1509" w:type="dxa"/>
          </w:tcPr>
          <w:p w14:paraId="0E4253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Cleaner production </w:t>
            </w:r>
          </w:p>
        </w:tc>
        <w:tc>
          <w:tcPr>
            <w:tcW w:w="2664" w:type="dxa"/>
          </w:tcPr>
          <w:p w14:paraId="218B859D" w14:textId="602C674C" w:rsidR="003202F1" w:rsidRPr="00FD71BF" w:rsidRDefault="00FD71BF" w:rsidP="00FD71BF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ausal-chain framework </w:t>
            </w:r>
            <w:r w:rsidR="003C751C" w:rsidRPr="00FD71BF">
              <w:rPr>
                <w:rFonts w:cstheme="minorHAnsi"/>
                <w:sz w:val="16"/>
                <w:szCs w:val="16"/>
              </w:rPr>
              <w:t>and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management-by-objectives (MBO), </w:t>
            </w:r>
            <w:r w:rsidR="003C751C" w:rsidRPr="00FD71BF">
              <w:rPr>
                <w:rFonts w:cstheme="minorHAnsi"/>
                <w:sz w:val="16"/>
                <w:szCs w:val="16"/>
              </w:rPr>
              <w:t xml:space="preserve">to measure 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performance </w:t>
            </w:r>
            <w:r w:rsidR="003C751C" w:rsidRPr="00FD71BF">
              <w:rPr>
                <w:rFonts w:cstheme="minorHAnsi"/>
                <w:sz w:val="16"/>
                <w:szCs w:val="16"/>
              </w:rPr>
              <w:t>and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operational objective</w:t>
            </w:r>
            <w:r w:rsidR="003C751C" w:rsidRPr="00FD71BF">
              <w:rPr>
                <w:rFonts w:cstheme="minorHAnsi"/>
                <w:sz w:val="16"/>
                <w:szCs w:val="16"/>
              </w:rPr>
              <w:t>s</w:t>
            </w:r>
          </w:p>
        </w:tc>
        <w:tc>
          <w:tcPr>
            <w:tcW w:w="2700" w:type="dxa"/>
          </w:tcPr>
          <w:p w14:paraId="00919F8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Product Design using AI</w:t>
            </w:r>
          </w:p>
        </w:tc>
        <w:tc>
          <w:tcPr>
            <w:tcW w:w="1206" w:type="dxa"/>
          </w:tcPr>
          <w:p w14:paraId="6DA16FB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</w:tc>
      </w:tr>
      <w:tr w:rsidR="003202F1" w:rsidRPr="00FD71BF" w14:paraId="29FF111E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F93FED7" w14:textId="0171D28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1580" w:type="dxa"/>
          </w:tcPr>
          <w:p w14:paraId="0BA43542" w14:textId="39CAF6E5" w:rsidR="003202F1" w:rsidRPr="00FD71BF" w:rsidRDefault="003202F1" w:rsidP="004C5A3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Thuesen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C, 2012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[5</w:t>
            </w:r>
            <w:r w:rsidR="004C5A35" w:rsidRPr="00FD71BF">
              <w:rPr>
                <w:rFonts w:cstheme="minorHAnsi"/>
                <w:sz w:val="16"/>
                <w:szCs w:val="16"/>
                <w:lang w:val="en-GB"/>
              </w:rPr>
              <w:t>8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] </w:t>
            </w:r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</w:tcPr>
          <w:p w14:paraId="359BCC7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34FFC0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modeling </w:t>
            </w:r>
          </w:p>
        </w:tc>
        <w:tc>
          <w:tcPr>
            <w:tcW w:w="1481" w:type="dxa"/>
          </w:tcPr>
          <w:p w14:paraId="5288F57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Denmark </w:t>
            </w:r>
          </w:p>
        </w:tc>
        <w:tc>
          <w:tcPr>
            <w:tcW w:w="1509" w:type="dxa"/>
          </w:tcPr>
          <w:p w14:paraId="6B3CF56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Supply chain management </w:t>
            </w:r>
          </w:p>
        </w:tc>
        <w:tc>
          <w:tcPr>
            <w:tcW w:w="2664" w:type="dxa"/>
          </w:tcPr>
          <w:p w14:paraId="1CA0165D" w14:textId="3282B730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Development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of off-site manufacturing (OSM) practices. </w:t>
            </w:r>
          </w:p>
        </w:tc>
        <w:tc>
          <w:tcPr>
            <w:tcW w:w="2700" w:type="dxa"/>
          </w:tcPr>
          <w:p w14:paraId="4486B77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Coordinated purchasing results in economies of scale </w:t>
            </w:r>
          </w:p>
        </w:tc>
        <w:tc>
          <w:tcPr>
            <w:tcW w:w="1206" w:type="dxa"/>
          </w:tcPr>
          <w:p w14:paraId="7F3832B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3849F625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9407601" w14:textId="06A72080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1580" w:type="dxa"/>
          </w:tcPr>
          <w:p w14:paraId="78FBD07D" w14:textId="3C55578C" w:rsidR="003202F1" w:rsidRPr="00FD71BF" w:rsidRDefault="003202F1" w:rsidP="004C5A35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Lorraine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McIlrath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et al, 2012 [8</w:t>
            </w:r>
            <w:r w:rsidR="004C5A35" w:rsidRPr="00FD71BF">
              <w:rPr>
                <w:rFonts w:cstheme="minorHAnsi"/>
                <w:sz w:val="16"/>
                <w:szCs w:val="16"/>
              </w:rPr>
              <w:t>1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579" w:type="dxa"/>
          </w:tcPr>
          <w:p w14:paraId="6F7A3A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Book</w:t>
            </w:r>
          </w:p>
        </w:tc>
        <w:tc>
          <w:tcPr>
            <w:tcW w:w="1579" w:type="dxa"/>
          </w:tcPr>
          <w:p w14:paraId="3F18B5C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collaboration’ while pooling up resources</w:t>
            </w:r>
          </w:p>
        </w:tc>
        <w:tc>
          <w:tcPr>
            <w:tcW w:w="1481" w:type="dxa"/>
          </w:tcPr>
          <w:p w14:paraId="3202BD7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Ireland </w:t>
            </w:r>
          </w:p>
        </w:tc>
        <w:tc>
          <w:tcPr>
            <w:tcW w:w="1509" w:type="dxa"/>
          </w:tcPr>
          <w:p w14:paraId="2E2AF86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Education </w:t>
            </w:r>
          </w:p>
        </w:tc>
        <w:tc>
          <w:tcPr>
            <w:tcW w:w="2664" w:type="dxa"/>
          </w:tcPr>
          <w:p w14:paraId="4187C15C" w14:textId="1CE3AD4C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Role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of higher education institutions in terms of realizing civic </w:t>
            </w:r>
            <w:r w:rsidR="00915531" w:rsidRPr="00FD71BF">
              <w:rPr>
                <w:rFonts w:cstheme="minorHAnsi"/>
                <w:sz w:val="16"/>
                <w:szCs w:val="16"/>
              </w:rPr>
              <w:t>missions.</w:t>
            </w:r>
          </w:p>
        </w:tc>
        <w:tc>
          <w:tcPr>
            <w:tcW w:w="2700" w:type="dxa"/>
          </w:tcPr>
          <w:p w14:paraId="1011C6A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Industry-university strategic partnership for enhancing circular systems, methods and processes via education, training, research, network and financing </w:t>
            </w:r>
          </w:p>
        </w:tc>
        <w:tc>
          <w:tcPr>
            <w:tcW w:w="1206" w:type="dxa"/>
          </w:tcPr>
          <w:p w14:paraId="14FDF10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6D14212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 </w:t>
            </w:r>
          </w:p>
        </w:tc>
      </w:tr>
      <w:tr w:rsidR="003202F1" w:rsidRPr="00FD71BF" w14:paraId="0998324A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874BCD7" w14:textId="5496879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1580" w:type="dxa"/>
          </w:tcPr>
          <w:p w14:paraId="017D3DF4" w14:textId="66D98A60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Breznitz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and Feldman, 2012).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="004C5A35" w:rsidRPr="00FD71BF">
              <w:rPr>
                <w:rFonts w:cstheme="minorHAnsi"/>
                <w:sz w:val="16"/>
                <w:szCs w:val="16"/>
                <w:lang w:val="en-GB"/>
              </w:rPr>
              <w:t>[76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3CBE75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71BA5A9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Technology transfer </w:t>
            </w:r>
          </w:p>
        </w:tc>
        <w:tc>
          <w:tcPr>
            <w:tcW w:w="1481" w:type="dxa"/>
          </w:tcPr>
          <w:p w14:paraId="153166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Canada</w:t>
            </w:r>
          </w:p>
        </w:tc>
        <w:tc>
          <w:tcPr>
            <w:tcW w:w="1509" w:type="dxa"/>
          </w:tcPr>
          <w:p w14:paraId="232AF11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Education </w:t>
            </w:r>
          </w:p>
        </w:tc>
        <w:tc>
          <w:tcPr>
            <w:tcW w:w="2664" w:type="dxa"/>
          </w:tcPr>
          <w:p w14:paraId="416F1602" w14:textId="5F968393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lobal mandate to sustainability has made the role of modern universities multifaceted </w:t>
            </w:r>
          </w:p>
        </w:tc>
        <w:tc>
          <w:tcPr>
            <w:tcW w:w="2700" w:type="dxa"/>
          </w:tcPr>
          <w:p w14:paraId="5DAC15B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Inspiring business incubation centers for research, innovation and development </w:t>
            </w:r>
          </w:p>
        </w:tc>
        <w:tc>
          <w:tcPr>
            <w:tcW w:w="1206" w:type="dxa"/>
          </w:tcPr>
          <w:p w14:paraId="2DCA79F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4BB5695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 </w:t>
            </w:r>
          </w:p>
        </w:tc>
      </w:tr>
      <w:tr w:rsidR="003202F1" w:rsidRPr="00FD71BF" w14:paraId="5894FF15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ECDED04" w14:textId="2DDCC74A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1580" w:type="dxa"/>
          </w:tcPr>
          <w:p w14:paraId="2D0A8BC5" w14:textId="545BD958" w:rsidR="003202F1" w:rsidRPr="00FD71BF" w:rsidRDefault="003202F1" w:rsidP="004C5A35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Zhou et al.2013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[5</w:t>
            </w:r>
            <w:r w:rsidR="004C5A35" w:rsidRPr="00FD71BF">
              <w:rPr>
                <w:rFonts w:cstheme="minorHAnsi"/>
                <w:sz w:val="16"/>
                <w:szCs w:val="16"/>
                <w:lang w:val="en-GB"/>
              </w:rPr>
              <w:t>7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08A0CB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1BB82D8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Machine learning </w:t>
            </w:r>
          </w:p>
        </w:tc>
        <w:tc>
          <w:tcPr>
            <w:tcW w:w="1481" w:type="dxa"/>
          </w:tcPr>
          <w:p w14:paraId="03B75FA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China</w:t>
            </w:r>
          </w:p>
        </w:tc>
        <w:tc>
          <w:tcPr>
            <w:tcW w:w="1509" w:type="dxa"/>
          </w:tcPr>
          <w:p w14:paraId="2CDD215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ICT Algorithm </w:t>
            </w:r>
          </w:p>
        </w:tc>
        <w:tc>
          <w:tcPr>
            <w:tcW w:w="2664" w:type="dxa"/>
          </w:tcPr>
          <w:p w14:paraId="3A551618" w14:textId="108C8BD9" w:rsidR="003202F1" w:rsidRPr="00FD71BF" w:rsidRDefault="00FD71BF" w:rsidP="00FD71BF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</w:t>
            </w:r>
            <w:r w:rsidR="003202F1" w:rsidRPr="00FD71BF">
              <w:rPr>
                <w:rFonts w:cstheme="minorHAnsi"/>
                <w:sz w:val="16"/>
                <w:szCs w:val="16"/>
              </w:rPr>
              <w:t>valuation model based on support vector machine (SVM) integrated with heuristic algorithm</w:t>
            </w:r>
          </w:p>
        </w:tc>
        <w:tc>
          <w:tcPr>
            <w:tcW w:w="2700" w:type="dxa"/>
          </w:tcPr>
          <w:p w14:paraId="6D3D6A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Machine-to-Machine Communication Ethics</w:t>
            </w:r>
          </w:p>
        </w:tc>
        <w:tc>
          <w:tcPr>
            <w:tcW w:w="1206" w:type="dxa"/>
          </w:tcPr>
          <w:p w14:paraId="682B1A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Theory</w:t>
            </w:r>
          </w:p>
        </w:tc>
      </w:tr>
      <w:tr w:rsidR="003202F1" w:rsidRPr="00FD71BF" w14:paraId="2CDE2ADE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70AA5D6" w14:textId="09D64025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1580" w:type="dxa"/>
          </w:tcPr>
          <w:p w14:paraId="1E890173" w14:textId="45C4C04A" w:rsidR="003202F1" w:rsidRPr="00FD71BF" w:rsidRDefault="003202F1" w:rsidP="004C5A3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Waris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>, M., et al, 2014 [5</w:t>
            </w:r>
            <w:r w:rsidR="004C5A35" w:rsidRPr="00FD71BF">
              <w:rPr>
                <w:rFonts w:cstheme="minorHAnsi"/>
                <w:sz w:val="16"/>
                <w:szCs w:val="16"/>
                <w:lang w:val="en-GB"/>
              </w:rPr>
              <w:t>9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0909522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Case study</w:t>
            </w:r>
          </w:p>
        </w:tc>
        <w:tc>
          <w:tcPr>
            <w:tcW w:w="1579" w:type="dxa"/>
          </w:tcPr>
          <w:p w14:paraId="45A2411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>onsite mechanization</w:t>
            </w:r>
          </w:p>
        </w:tc>
        <w:tc>
          <w:tcPr>
            <w:tcW w:w="1481" w:type="dxa"/>
          </w:tcPr>
          <w:p w14:paraId="7CA7164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Malaysia</w:t>
            </w:r>
          </w:p>
        </w:tc>
        <w:tc>
          <w:tcPr>
            <w:tcW w:w="1509" w:type="dxa"/>
          </w:tcPr>
          <w:p w14:paraId="310E40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Industrial engineering </w:t>
            </w:r>
          </w:p>
        </w:tc>
        <w:tc>
          <w:tcPr>
            <w:tcW w:w="2664" w:type="dxa"/>
          </w:tcPr>
          <w:p w14:paraId="0ADC2CFE" w14:textId="2985C413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>wareness and application of onsite mechanization in Malaysian construction</w:t>
            </w:r>
          </w:p>
        </w:tc>
        <w:tc>
          <w:tcPr>
            <w:tcW w:w="2700" w:type="dxa"/>
          </w:tcPr>
          <w:p w14:paraId="3BB6CEA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Optimum mix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labour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and plant at site level deployment </w:t>
            </w:r>
          </w:p>
        </w:tc>
        <w:tc>
          <w:tcPr>
            <w:tcW w:w="1206" w:type="dxa"/>
          </w:tcPr>
          <w:p w14:paraId="6F2300A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4ADEB23C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21F52B3" w14:textId="7B67923F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1580" w:type="dxa"/>
          </w:tcPr>
          <w:p w14:paraId="66B484E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Rizos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V.; 2016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[10]</w:t>
            </w:r>
          </w:p>
        </w:tc>
        <w:tc>
          <w:tcPr>
            <w:tcW w:w="1579" w:type="dxa"/>
          </w:tcPr>
          <w:p w14:paraId="365A7C2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studies </w:t>
            </w:r>
          </w:p>
        </w:tc>
        <w:tc>
          <w:tcPr>
            <w:tcW w:w="1579" w:type="dxa"/>
          </w:tcPr>
          <w:p w14:paraId="485920B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modeling </w:t>
            </w:r>
          </w:p>
        </w:tc>
        <w:tc>
          <w:tcPr>
            <w:tcW w:w="1481" w:type="dxa"/>
          </w:tcPr>
          <w:p w14:paraId="1E4993D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Belgium</w:t>
            </w:r>
          </w:p>
        </w:tc>
        <w:tc>
          <w:tcPr>
            <w:tcW w:w="1509" w:type="dxa"/>
          </w:tcPr>
          <w:p w14:paraId="07B9FDF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Small and medium-sized enterprises (SMEs)</w:t>
            </w:r>
          </w:p>
        </w:tc>
        <w:tc>
          <w:tcPr>
            <w:tcW w:w="2664" w:type="dxa"/>
          </w:tcPr>
          <w:p w14:paraId="054FE809" w14:textId="5BF85936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Barriers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and enabling factors identified by SMEs during the implementation of their circular economy business model.</w:t>
            </w:r>
          </w:p>
        </w:tc>
        <w:tc>
          <w:tcPr>
            <w:tcW w:w="2700" w:type="dxa"/>
          </w:tcPr>
          <w:p w14:paraId="658560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sharing mechanisms between firms to foster greater collaborations, boost research and development efforts, and encourage innovative endeavors. </w:t>
            </w:r>
          </w:p>
        </w:tc>
        <w:tc>
          <w:tcPr>
            <w:tcW w:w="1206" w:type="dxa"/>
          </w:tcPr>
          <w:p w14:paraId="48DFC03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45DBA2DF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C688BF9" w14:textId="4F626DA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1580" w:type="dxa"/>
          </w:tcPr>
          <w:p w14:paraId="31CECA0A" w14:textId="6A810CBE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Stahel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W.R. 2016, 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[53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6529C1C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Practice paper</w:t>
            </w:r>
          </w:p>
        </w:tc>
        <w:tc>
          <w:tcPr>
            <w:tcW w:w="1579" w:type="dxa"/>
          </w:tcPr>
          <w:p w14:paraId="0DFB57C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Automation</w:t>
            </w:r>
          </w:p>
        </w:tc>
        <w:tc>
          <w:tcPr>
            <w:tcW w:w="1481" w:type="dxa"/>
          </w:tcPr>
          <w:p w14:paraId="7E62D2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Swiss</w:t>
            </w:r>
          </w:p>
        </w:tc>
        <w:tc>
          <w:tcPr>
            <w:tcW w:w="1509" w:type="dxa"/>
          </w:tcPr>
          <w:p w14:paraId="3039BD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Relationship</w:t>
            </w:r>
          </w:p>
        </w:tc>
        <w:tc>
          <w:tcPr>
            <w:tcW w:w="2664" w:type="dxa"/>
          </w:tcPr>
          <w:p w14:paraId="323AB67B" w14:textId="0699EC81" w:rsidR="003202F1" w:rsidRPr="00FD71BF" w:rsidRDefault="00FD71BF" w:rsidP="003C751C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ustainability agendas </w:t>
            </w:r>
            <w:r w:rsidR="003C751C" w:rsidRPr="00FD71BF">
              <w:rPr>
                <w:rFonts w:cstheme="minorHAnsi"/>
                <w:sz w:val="16"/>
                <w:szCs w:val="16"/>
              </w:rPr>
              <w:t xml:space="preserve">influenced by </w:t>
            </w:r>
            <w:r w:rsidR="003202F1" w:rsidRPr="00FD71BF">
              <w:rPr>
                <w:rFonts w:cstheme="minorHAnsi"/>
                <w:sz w:val="16"/>
                <w:szCs w:val="16"/>
              </w:rPr>
              <w:t>digitization</w:t>
            </w:r>
          </w:p>
        </w:tc>
        <w:tc>
          <w:tcPr>
            <w:tcW w:w="2700" w:type="dxa"/>
          </w:tcPr>
          <w:p w14:paraId="1177542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Sustainable Technological Infrastructure Development</w:t>
            </w:r>
          </w:p>
        </w:tc>
        <w:tc>
          <w:tcPr>
            <w:tcW w:w="1206" w:type="dxa"/>
          </w:tcPr>
          <w:p w14:paraId="29E4B40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3B416F4A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6042A8B" w14:textId="0E166A2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1580" w:type="dxa"/>
          </w:tcPr>
          <w:p w14:paraId="38E0CEB1" w14:textId="49C12FFF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Green and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Erdem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2016).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[77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  <w:r w:rsidRPr="00FD71BF">
              <w:rPr>
                <w:rFonts w:cstheme="minorHAnsi"/>
                <w:sz w:val="16"/>
                <w:szCs w:val="16"/>
              </w:rPr>
              <w:t> </w:t>
            </w:r>
          </w:p>
        </w:tc>
        <w:tc>
          <w:tcPr>
            <w:tcW w:w="1579" w:type="dxa"/>
          </w:tcPr>
          <w:p w14:paraId="23663EF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studies </w:t>
            </w:r>
          </w:p>
        </w:tc>
        <w:tc>
          <w:tcPr>
            <w:tcW w:w="1579" w:type="dxa"/>
          </w:tcPr>
          <w:p w14:paraId="248B057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Industry academia gap</w:t>
            </w:r>
          </w:p>
        </w:tc>
        <w:tc>
          <w:tcPr>
            <w:tcW w:w="1481" w:type="dxa"/>
          </w:tcPr>
          <w:p w14:paraId="045E72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3651623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Hospitality </w:t>
            </w:r>
          </w:p>
        </w:tc>
        <w:tc>
          <w:tcPr>
            <w:tcW w:w="2664" w:type="dxa"/>
          </w:tcPr>
          <w:p w14:paraId="6B3243A1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Collaborative efforts enable comprehensively representing the demands sustained link between industry and academia </w:t>
            </w:r>
          </w:p>
        </w:tc>
        <w:tc>
          <w:tcPr>
            <w:tcW w:w="2700" w:type="dxa"/>
          </w:tcPr>
          <w:p w14:paraId="02595B4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on industry networking and business incubation </w:t>
            </w:r>
          </w:p>
        </w:tc>
        <w:tc>
          <w:tcPr>
            <w:tcW w:w="1206" w:type="dxa"/>
          </w:tcPr>
          <w:p w14:paraId="391023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06E8E79A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8573436" w14:textId="0CF4228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1580" w:type="dxa"/>
          </w:tcPr>
          <w:p w14:paraId="247ADCA7" w14:textId="33B27E59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Bressanelli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G.et al, 2018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[74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186FAE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0F903C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Sharing </w:t>
            </w:r>
          </w:p>
        </w:tc>
        <w:tc>
          <w:tcPr>
            <w:tcW w:w="1481" w:type="dxa"/>
          </w:tcPr>
          <w:p w14:paraId="2B63E25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Italy </w:t>
            </w:r>
          </w:p>
        </w:tc>
        <w:tc>
          <w:tcPr>
            <w:tcW w:w="1509" w:type="dxa"/>
          </w:tcPr>
          <w:p w14:paraId="31EF69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 Business </w:t>
            </w:r>
          </w:p>
        </w:tc>
        <w:tc>
          <w:tcPr>
            <w:tcW w:w="2664" w:type="dxa"/>
          </w:tcPr>
          <w:p w14:paraId="48B49557" w14:textId="1D030F48" w:rsidR="003202F1" w:rsidRPr="00FD71BF" w:rsidRDefault="00FD71BF" w:rsidP="00FD71BF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="003202F1" w:rsidRPr="00FD71BF">
              <w:rPr>
                <w:rFonts w:cstheme="minorHAnsi"/>
                <w:sz w:val="16"/>
                <w:szCs w:val="16"/>
              </w:rPr>
              <w:t>roduct-Service Systems (PSS) Business Models</w:t>
            </w:r>
          </w:p>
        </w:tc>
        <w:tc>
          <w:tcPr>
            <w:tcW w:w="2700" w:type="dxa"/>
          </w:tcPr>
          <w:p w14:paraId="52D1FF8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Product Service System integration </w:t>
            </w:r>
          </w:p>
        </w:tc>
        <w:tc>
          <w:tcPr>
            <w:tcW w:w="1206" w:type="dxa"/>
          </w:tcPr>
          <w:p w14:paraId="5D43A39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Method</w:t>
            </w:r>
          </w:p>
        </w:tc>
      </w:tr>
      <w:tr w:rsidR="003202F1" w:rsidRPr="00FD71BF" w14:paraId="34A0041E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009B472" w14:textId="0CDC86C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1580" w:type="dxa"/>
          </w:tcPr>
          <w:p w14:paraId="7F5C4769" w14:textId="3460C47F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Nascimento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D.L.M,et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al, 2018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[5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4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122C8AB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1D28D2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Global interconnectedness</w:t>
            </w:r>
          </w:p>
        </w:tc>
        <w:tc>
          <w:tcPr>
            <w:tcW w:w="1481" w:type="dxa"/>
          </w:tcPr>
          <w:p w14:paraId="157F23D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Barcelona</w:t>
            </w:r>
          </w:p>
        </w:tc>
        <w:tc>
          <w:tcPr>
            <w:tcW w:w="1509" w:type="dxa"/>
          </w:tcPr>
          <w:p w14:paraId="498E817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Manufacturing  </w:t>
            </w:r>
          </w:p>
        </w:tc>
        <w:tc>
          <w:tcPr>
            <w:tcW w:w="2664" w:type="dxa"/>
          </w:tcPr>
          <w:p w14:paraId="7B0978F6" w14:textId="29A4094D" w:rsidR="003202F1" w:rsidRPr="00FD71BF" w:rsidRDefault="00FD71BF" w:rsidP="00FD71BF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="003202F1" w:rsidRPr="00FD71BF">
              <w:rPr>
                <w:rFonts w:cstheme="minorHAnsi"/>
                <w:sz w:val="16"/>
                <w:szCs w:val="16"/>
              </w:rPr>
              <w:t>reating efficient interconnection models within a symbiotic industrial ecosystem</w:t>
            </w:r>
          </w:p>
        </w:tc>
        <w:tc>
          <w:tcPr>
            <w:tcW w:w="2700" w:type="dxa"/>
          </w:tcPr>
          <w:p w14:paraId="3572613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Work out Strategic  Relationship between Decision Makers Worldwide using Industry 4.0</w:t>
            </w:r>
          </w:p>
        </w:tc>
        <w:tc>
          <w:tcPr>
            <w:tcW w:w="1206" w:type="dxa"/>
          </w:tcPr>
          <w:p w14:paraId="000756F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57D2C7AB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9CACA30" w14:textId="032A766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1580" w:type="dxa"/>
          </w:tcPr>
          <w:p w14:paraId="73BB925D" w14:textId="54426168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Damian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Coughlanet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al, 2018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[106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7DEAEE9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</w:t>
            </w:r>
          </w:p>
        </w:tc>
        <w:tc>
          <w:tcPr>
            <w:tcW w:w="1579" w:type="dxa"/>
          </w:tcPr>
          <w:p w14:paraId="38D0445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Repurpose </w:t>
            </w:r>
          </w:p>
        </w:tc>
        <w:tc>
          <w:tcPr>
            <w:tcW w:w="1481" w:type="dxa"/>
          </w:tcPr>
          <w:p w14:paraId="28D99E1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Ireland </w:t>
            </w:r>
          </w:p>
        </w:tc>
        <w:tc>
          <w:tcPr>
            <w:tcW w:w="1509" w:type="dxa"/>
          </w:tcPr>
          <w:p w14:paraId="3F9270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Electronics </w:t>
            </w:r>
          </w:p>
        </w:tc>
        <w:tc>
          <w:tcPr>
            <w:tcW w:w="2664" w:type="dxa"/>
          </w:tcPr>
          <w:p w14:paraId="6FF20B41" w14:textId="3E09F177" w:rsidR="003202F1" w:rsidRPr="00FD71BF" w:rsidRDefault="003202F1" w:rsidP="003C751C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Design criteria for repurposing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EoL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notebooks </w:t>
            </w:r>
          </w:p>
        </w:tc>
        <w:tc>
          <w:tcPr>
            <w:tcW w:w="2700" w:type="dxa"/>
          </w:tcPr>
          <w:p w14:paraId="33A69E0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Repurpose old office supplies and equipment</w:t>
            </w:r>
            <w:r w:rsidRPr="00FD71BF">
              <w:rPr>
                <w:rFonts w:eastAsia="SimSun" w:cstheme="minorHAnsi"/>
                <w:noProof/>
                <w:snapToGrid/>
                <w:color w:val="495965"/>
                <w:spacing w:val="14"/>
                <w:sz w:val="16"/>
                <w:szCs w:val="16"/>
                <w:shd w:val="clear" w:color="auto" w:fill="FFFFFF"/>
                <w:lang w:eastAsia="zh-CN" w:bidi="ar-SA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</w:rPr>
              <w:t xml:space="preserve">old banners or promotional materials can be turned into tote bags or other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useful items.</w:t>
            </w:r>
          </w:p>
        </w:tc>
        <w:tc>
          <w:tcPr>
            <w:tcW w:w="1206" w:type="dxa"/>
          </w:tcPr>
          <w:p w14:paraId="1A0904C1" w14:textId="77777777" w:rsidR="003202F1" w:rsidRPr="00FD71BF" w:rsidRDefault="003202F1" w:rsidP="00F5335E">
            <w:pPr>
              <w:pStyle w:val="MDPI42tablebody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>Knowledge</w:t>
            </w:r>
          </w:p>
          <w:p w14:paraId="670818E8" w14:textId="77777777" w:rsidR="003202F1" w:rsidRPr="00FD71BF" w:rsidRDefault="003202F1" w:rsidP="00F5335E">
            <w:pPr>
              <w:pStyle w:val="MDPI42tablebody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  <w:p w14:paraId="3CB0705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 </w:t>
            </w:r>
          </w:p>
        </w:tc>
      </w:tr>
      <w:tr w:rsidR="003202F1" w:rsidRPr="00FD71BF" w14:paraId="0F15273F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C42D3F2" w14:textId="0F0E050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580" w:type="dxa"/>
          </w:tcPr>
          <w:p w14:paraId="3AC9C92D" w14:textId="391DB9DC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Tseng,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M.L.;et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al, 2018[7</w:t>
            </w:r>
            <w:r w:rsidR="008853A1" w:rsidRPr="00FD71BF">
              <w:rPr>
                <w:rFonts w:cstheme="minorHAnsi"/>
                <w:sz w:val="16"/>
                <w:szCs w:val="16"/>
              </w:rPr>
              <w:t>2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579" w:type="dxa"/>
          </w:tcPr>
          <w:p w14:paraId="6A378A2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FBBECF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Automation</w:t>
            </w:r>
          </w:p>
        </w:tc>
        <w:tc>
          <w:tcPr>
            <w:tcW w:w="1481" w:type="dxa"/>
          </w:tcPr>
          <w:p w14:paraId="177E575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Taiwan</w:t>
            </w:r>
          </w:p>
        </w:tc>
        <w:tc>
          <w:tcPr>
            <w:tcW w:w="1509" w:type="dxa"/>
          </w:tcPr>
          <w:p w14:paraId="64E93A1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Lean production </w:t>
            </w:r>
          </w:p>
        </w:tc>
        <w:tc>
          <w:tcPr>
            <w:tcW w:w="2664" w:type="dxa"/>
          </w:tcPr>
          <w:p w14:paraId="62672308" w14:textId="130D9D8D" w:rsidR="003202F1" w:rsidRPr="00FD71BF" w:rsidRDefault="00FD71BF" w:rsidP="00FD71BF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O</w:t>
            </w:r>
            <w:r w:rsidR="003202F1" w:rsidRPr="00FD71BF">
              <w:rPr>
                <w:rFonts w:cstheme="minorHAnsi"/>
                <w:sz w:val="16"/>
                <w:szCs w:val="16"/>
              </w:rPr>
              <w:t>ptimize the value chain because of autonomously controlled and dynamic production</w:t>
            </w:r>
          </w:p>
        </w:tc>
        <w:tc>
          <w:tcPr>
            <w:tcW w:w="2700" w:type="dxa"/>
          </w:tcPr>
          <w:p w14:paraId="29B7C21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Lean Production or Circular Design Strategies</w:t>
            </w:r>
          </w:p>
        </w:tc>
        <w:tc>
          <w:tcPr>
            <w:tcW w:w="1206" w:type="dxa"/>
          </w:tcPr>
          <w:p w14:paraId="099E0AE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2054E6B8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98F61DF" w14:textId="27E461D9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1580" w:type="dxa"/>
          </w:tcPr>
          <w:p w14:paraId="4CAA7483" w14:textId="118B19EC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Govindan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K</w:t>
            </w:r>
            <w:r w:rsidRPr="00FD71BF">
              <w:rPr>
                <w:rFonts w:eastAsia="SimSun" w:cstheme="minorHAnsi"/>
                <w:noProof/>
                <w:snapToGrid/>
                <w:sz w:val="16"/>
                <w:szCs w:val="16"/>
                <w:lang w:eastAsia="zh-CN" w:bidi="ar-SA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Hasanagic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M., 2018.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[50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4244B0E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6042D28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Waste </w:t>
            </w:r>
          </w:p>
        </w:tc>
        <w:tc>
          <w:tcPr>
            <w:tcW w:w="1481" w:type="dxa"/>
          </w:tcPr>
          <w:p w14:paraId="7E9250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Indian</w:t>
            </w:r>
          </w:p>
        </w:tc>
        <w:tc>
          <w:tcPr>
            <w:tcW w:w="1509" w:type="dxa"/>
          </w:tcPr>
          <w:p w14:paraId="4E3147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Supply chain management </w:t>
            </w:r>
          </w:p>
        </w:tc>
        <w:tc>
          <w:tcPr>
            <w:tcW w:w="2664" w:type="dxa"/>
          </w:tcPr>
          <w:p w14:paraId="53A3BE8D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 collection of drivers, barriers, and practices towards circular economy</w:t>
            </w:r>
          </w:p>
        </w:tc>
        <w:tc>
          <w:tcPr>
            <w:tcW w:w="2700" w:type="dxa"/>
          </w:tcPr>
          <w:p w14:paraId="4BD21AE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Overcoming factors inhibiting the slowness in embracing circular practices</w:t>
            </w:r>
          </w:p>
        </w:tc>
        <w:tc>
          <w:tcPr>
            <w:tcW w:w="1206" w:type="dxa"/>
          </w:tcPr>
          <w:p w14:paraId="565F47D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7A2B42C4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423D6DD" w14:textId="7F8A8D0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1580" w:type="dxa"/>
          </w:tcPr>
          <w:p w14:paraId="1DF6DB11" w14:textId="3D636FCA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 Jesus, A.;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Mendonça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S.2018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[5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1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223EDB8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07918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transformative innovation</w:t>
            </w:r>
          </w:p>
        </w:tc>
        <w:tc>
          <w:tcPr>
            <w:tcW w:w="1481" w:type="dxa"/>
          </w:tcPr>
          <w:p w14:paraId="209E3E3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Portugal</w:t>
            </w:r>
          </w:p>
        </w:tc>
        <w:tc>
          <w:tcPr>
            <w:tcW w:w="1509" w:type="dxa"/>
          </w:tcPr>
          <w:p w14:paraId="71C49FB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Ecological economics </w:t>
            </w:r>
          </w:p>
        </w:tc>
        <w:tc>
          <w:tcPr>
            <w:tcW w:w="2664" w:type="dxa"/>
          </w:tcPr>
          <w:p w14:paraId="1F30E982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Drivers and Barriers in the Eco-innovation</w:t>
            </w:r>
          </w:p>
        </w:tc>
        <w:tc>
          <w:tcPr>
            <w:tcW w:w="2700" w:type="dxa"/>
          </w:tcPr>
          <w:p w14:paraId="327ADD9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 of policy guidelines and organizational strategies</w:t>
            </w:r>
          </w:p>
        </w:tc>
        <w:tc>
          <w:tcPr>
            <w:tcW w:w="1206" w:type="dxa"/>
          </w:tcPr>
          <w:p w14:paraId="2E93E0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4A4E2521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8AD58E1" w14:textId="01526061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1580" w:type="dxa"/>
          </w:tcPr>
          <w:p w14:paraId="5D379D5B" w14:textId="4BFA566A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Mervyn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Jones, et al 2018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[4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6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399CA24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report </w:t>
            </w:r>
          </w:p>
        </w:tc>
        <w:tc>
          <w:tcPr>
            <w:tcW w:w="1579" w:type="dxa"/>
          </w:tcPr>
          <w:p w14:paraId="490B09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Circular procurement </w:t>
            </w:r>
          </w:p>
        </w:tc>
        <w:tc>
          <w:tcPr>
            <w:tcW w:w="1481" w:type="dxa"/>
          </w:tcPr>
          <w:p w14:paraId="476D410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UK</w:t>
            </w:r>
          </w:p>
        </w:tc>
        <w:tc>
          <w:tcPr>
            <w:tcW w:w="1509" w:type="dxa"/>
          </w:tcPr>
          <w:p w14:paraId="456445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Public procurement</w:t>
            </w:r>
          </w:p>
        </w:tc>
        <w:tc>
          <w:tcPr>
            <w:tcW w:w="2664" w:type="dxa"/>
          </w:tcPr>
          <w:p w14:paraId="32DC0252" w14:textId="2291218B" w:rsidR="003202F1" w:rsidRPr="00FD71BF" w:rsidRDefault="00FD71BF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Focus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on different ways of integrating circular thinking in the procurement and finally what you can gain from it.</w:t>
            </w:r>
          </w:p>
        </w:tc>
        <w:tc>
          <w:tcPr>
            <w:tcW w:w="2700" w:type="dxa"/>
          </w:tcPr>
          <w:p w14:paraId="3D51E07A" w14:textId="5DD8DB28" w:rsidR="003202F1" w:rsidRPr="00FD71BF" w:rsidRDefault="00FD71BF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3202F1" w:rsidRPr="00FD71BF">
              <w:rPr>
                <w:rFonts w:cstheme="minorHAnsi"/>
                <w:sz w:val="16"/>
                <w:szCs w:val="16"/>
              </w:rPr>
              <w:t>ntegrate circular criteria into their procurement processes</w:t>
            </w:r>
          </w:p>
        </w:tc>
        <w:tc>
          <w:tcPr>
            <w:tcW w:w="1206" w:type="dxa"/>
          </w:tcPr>
          <w:p w14:paraId="091D764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5229DCD4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2F33F73" w14:textId="50481A51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1580" w:type="dxa"/>
          </w:tcPr>
          <w:p w14:paraId="38D5FE29" w14:textId="63C86357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Michael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Søgaard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Jørgensen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et al, 2018 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[120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04844D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29E02D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environmental mapping </w:t>
            </w:r>
          </w:p>
        </w:tc>
        <w:tc>
          <w:tcPr>
            <w:tcW w:w="1481" w:type="dxa"/>
          </w:tcPr>
          <w:p w14:paraId="62DFB5B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Denmark </w:t>
            </w:r>
          </w:p>
        </w:tc>
        <w:tc>
          <w:tcPr>
            <w:tcW w:w="1509" w:type="dxa"/>
          </w:tcPr>
          <w:p w14:paraId="3B4A1A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</w:t>
            </w:r>
          </w:p>
        </w:tc>
        <w:tc>
          <w:tcPr>
            <w:tcW w:w="2664" w:type="dxa"/>
          </w:tcPr>
          <w:p w14:paraId="24FA7E5B" w14:textId="451DDBCC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An</w:t>
            </w:r>
            <w:r w:rsidR="003202F1" w:rsidRPr="00FD71BF">
              <w:rPr>
                <w:rFonts w:cstheme="minorHAnsi"/>
                <w:sz w:val="16"/>
                <w:szCs w:val="16"/>
              </w:rPr>
              <w:t>alyses of potentials and barriers in a specific business and its value chains.</w:t>
            </w:r>
          </w:p>
        </w:tc>
        <w:tc>
          <w:tcPr>
            <w:tcW w:w="2700" w:type="dxa"/>
          </w:tcPr>
          <w:p w14:paraId="38CE3B1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Redesign of internal business organization considering necessary changes in tasks, competences, structures and technologies</w:t>
            </w:r>
          </w:p>
        </w:tc>
        <w:tc>
          <w:tcPr>
            <w:tcW w:w="1206" w:type="dxa"/>
          </w:tcPr>
          <w:p w14:paraId="5ABE50A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20D43BBC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B09A502" w14:textId="79266E4A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1580" w:type="dxa"/>
          </w:tcPr>
          <w:p w14:paraId="2C0BF819" w14:textId="21859D40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White, K. et al, 2019[79</w:t>
            </w:r>
            <w:r w:rsidR="003202F1" w:rsidRPr="00FD71BF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579" w:type="dxa"/>
          </w:tcPr>
          <w:p w14:paraId="62399D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576260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Consumer behavior </w:t>
            </w:r>
          </w:p>
        </w:tc>
        <w:tc>
          <w:tcPr>
            <w:tcW w:w="1481" w:type="dxa"/>
          </w:tcPr>
          <w:p w14:paraId="742264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666D8C1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Green economy</w:t>
            </w:r>
          </w:p>
        </w:tc>
        <w:tc>
          <w:tcPr>
            <w:tcW w:w="2664" w:type="dxa"/>
          </w:tcPr>
          <w:p w14:paraId="13A47D9E" w14:textId="21325FDB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="003202F1" w:rsidRPr="00FD71BF">
              <w:rPr>
                <w:rFonts w:cstheme="minorHAnsi"/>
                <w:sz w:val="16"/>
                <w:szCs w:val="16"/>
              </w:rPr>
              <w:t>arketing-based tactics, to encourage elusive green consumers to align their consumption with their stated preferences (27)</w:t>
            </w:r>
          </w:p>
        </w:tc>
        <w:tc>
          <w:tcPr>
            <w:tcW w:w="2700" w:type="dxa"/>
          </w:tcPr>
          <w:p w14:paraId="2873C46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Awareness and incentives for circularity based marketing </w:t>
            </w:r>
          </w:p>
        </w:tc>
        <w:tc>
          <w:tcPr>
            <w:tcW w:w="1206" w:type="dxa"/>
          </w:tcPr>
          <w:p w14:paraId="7C4291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4E7471D6" w14:textId="77777777" w:rsidTr="005A2BD5">
        <w:trPr>
          <w:trHeight w:val="1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9044E2D" w14:textId="52620285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1580" w:type="dxa"/>
          </w:tcPr>
          <w:p w14:paraId="0537D4A4" w14:textId="5D64BD57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Maria Anna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Cusenza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et al, 2019 [8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8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49E545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7B9CF3D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Repurpose </w:t>
            </w:r>
          </w:p>
        </w:tc>
        <w:tc>
          <w:tcPr>
            <w:tcW w:w="1481" w:type="dxa"/>
          </w:tcPr>
          <w:p w14:paraId="4F438D6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Italy</w:t>
            </w:r>
          </w:p>
        </w:tc>
        <w:tc>
          <w:tcPr>
            <w:tcW w:w="1509" w:type="dxa"/>
          </w:tcPr>
          <w:p w14:paraId="6D9433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Energy</w:t>
            </w:r>
          </w:p>
        </w:tc>
        <w:tc>
          <w:tcPr>
            <w:tcW w:w="2664" w:type="dxa"/>
          </w:tcPr>
          <w:p w14:paraId="1A62C04E" w14:textId="249412C0" w:rsidR="003202F1" w:rsidRPr="00FD71BF" w:rsidRDefault="003202F1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 life-cycle approach is applied for assessing the environmental performance. The proposed strategy can improve the overall environmental sustainability of both building and transportation sectors.</w:t>
            </w:r>
          </w:p>
        </w:tc>
        <w:tc>
          <w:tcPr>
            <w:tcW w:w="2700" w:type="dxa"/>
          </w:tcPr>
          <w:p w14:paraId="5978408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repurpose energy </w:t>
            </w:r>
          </w:p>
          <w:p w14:paraId="754FA2B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0B21A75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  <w:p w14:paraId="251C6C5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7DAE78B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43FF5BB" w14:textId="1507890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1580" w:type="dxa"/>
          </w:tcPr>
          <w:p w14:paraId="04C302B8" w14:textId="1A857C4E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Hedberg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A et al, 2019 [71</w:t>
            </w:r>
            <w:r w:rsidR="003202F1" w:rsidRPr="00FD71BF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579" w:type="dxa"/>
          </w:tcPr>
          <w:p w14:paraId="484C030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Case studies</w:t>
            </w:r>
          </w:p>
        </w:tc>
        <w:tc>
          <w:tcPr>
            <w:tcW w:w="1579" w:type="dxa"/>
          </w:tcPr>
          <w:p w14:paraId="271C96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Digital roadmap</w:t>
            </w:r>
          </w:p>
        </w:tc>
        <w:tc>
          <w:tcPr>
            <w:tcW w:w="1481" w:type="dxa"/>
          </w:tcPr>
          <w:p w14:paraId="0ED23B5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Europe Policy Center</w:t>
            </w:r>
          </w:p>
        </w:tc>
        <w:tc>
          <w:tcPr>
            <w:tcW w:w="1509" w:type="dxa"/>
          </w:tcPr>
          <w:p w14:paraId="323A94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Digitally enabled solutions</w:t>
            </w:r>
          </w:p>
        </w:tc>
        <w:tc>
          <w:tcPr>
            <w:tcW w:w="2664" w:type="dxa"/>
          </w:tcPr>
          <w:p w14:paraId="0C5FD8EE" w14:textId="1D09A74F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</w:t>
            </w:r>
            <w:r w:rsidR="003202F1" w:rsidRPr="00FD71BF">
              <w:rPr>
                <w:rFonts w:cstheme="minorHAnsi"/>
                <w:sz w:val="16"/>
                <w:szCs w:val="16"/>
              </w:rPr>
              <w:t>eflect on how digitally enabled solutions can accelerate the transition</w:t>
            </w:r>
          </w:p>
        </w:tc>
        <w:tc>
          <w:tcPr>
            <w:tcW w:w="2700" w:type="dxa"/>
          </w:tcPr>
          <w:p w14:paraId="5411E18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Effective Strategy Formulation by Correspondence among IT and CE Practitioners</w:t>
            </w:r>
          </w:p>
        </w:tc>
        <w:tc>
          <w:tcPr>
            <w:tcW w:w="1206" w:type="dxa"/>
          </w:tcPr>
          <w:p w14:paraId="4D06B5D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1579D35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7AE5E3C4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959EDD5" w14:textId="5D217E4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1580" w:type="dxa"/>
          </w:tcPr>
          <w:p w14:paraId="7A05C6D6" w14:textId="749E7589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Zhang, A et al, 2019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[3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4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4AAA045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7776511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Smart technology </w:t>
            </w:r>
          </w:p>
        </w:tc>
        <w:tc>
          <w:tcPr>
            <w:tcW w:w="1481" w:type="dxa"/>
          </w:tcPr>
          <w:p w14:paraId="1112532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China </w:t>
            </w:r>
          </w:p>
        </w:tc>
        <w:tc>
          <w:tcPr>
            <w:tcW w:w="1509" w:type="dxa"/>
          </w:tcPr>
          <w:p w14:paraId="070D9B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Waste management </w:t>
            </w:r>
          </w:p>
        </w:tc>
        <w:tc>
          <w:tcPr>
            <w:tcW w:w="2664" w:type="dxa"/>
          </w:tcPr>
          <w:p w14:paraId="3008A430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Barriers to smart waste management for a circular economy</w:t>
            </w:r>
          </w:p>
        </w:tc>
        <w:tc>
          <w:tcPr>
            <w:tcW w:w="2700" w:type="dxa"/>
          </w:tcPr>
          <w:p w14:paraId="568F8E0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Application of smart technologies for circular initiatives</w:t>
            </w:r>
          </w:p>
        </w:tc>
        <w:tc>
          <w:tcPr>
            <w:tcW w:w="1206" w:type="dxa"/>
          </w:tcPr>
          <w:p w14:paraId="5C49163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Practice</w:t>
            </w:r>
          </w:p>
        </w:tc>
      </w:tr>
      <w:tr w:rsidR="003202F1" w:rsidRPr="00FD71BF" w14:paraId="25261F7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05FC159" w14:textId="68F7543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1580" w:type="dxa"/>
          </w:tcPr>
          <w:p w14:paraId="548969F1" w14:textId="44B71259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Kavinda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H. and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Jayalath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C., 2019.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[9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8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36B230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Conference paper </w:t>
            </w:r>
          </w:p>
        </w:tc>
        <w:tc>
          <w:tcPr>
            <w:tcW w:w="1579" w:type="dxa"/>
          </w:tcPr>
          <w:p w14:paraId="6D0E766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Building adaptive reuse </w:t>
            </w:r>
          </w:p>
        </w:tc>
        <w:tc>
          <w:tcPr>
            <w:tcW w:w="1481" w:type="dxa"/>
          </w:tcPr>
          <w:p w14:paraId="5EE26B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Sri Lanka</w:t>
            </w:r>
          </w:p>
        </w:tc>
        <w:tc>
          <w:tcPr>
            <w:tcW w:w="1509" w:type="dxa"/>
          </w:tcPr>
          <w:p w14:paraId="2F3C115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</w:t>
            </w:r>
          </w:p>
        </w:tc>
        <w:tc>
          <w:tcPr>
            <w:tcW w:w="2664" w:type="dxa"/>
          </w:tcPr>
          <w:p w14:paraId="2E7112D0" w14:textId="1DE2CAD0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</w:t>
            </w:r>
            <w:r w:rsidR="003202F1" w:rsidRPr="00FD71BF">
              <w:rPr>
                <w:rFonts w:cstheme="minorHAnsi"/>
                <w:sz w:val="16"/>
                <w:szCs w:val="16"/>
              </w:rPr>
              <w:t>erive a decision making support model that enhances rationality of BAR decision</w:t>
            </w:r>
          </w:p>
        </w:tc>
        <w:tc>
          <w:tcPr>
            <w:tcW w:w="2700" w:type="dxa"/>
          </w:tcPr>
          <w:p w14:paraId="42EB8CD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National and global specification of deconstruction as a strategy to enhance circularity </w:t>
            </w:r>
          </w:p>
        </w:tc>
        <w:tc>
          <w:tcPr>
            <w:tcW w:w="1206" w:type="dxa"/>
          </w:tcPr>
          <w:p w14:paraId="618778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4757A11B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291D9B8" w14:textId="7366D90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1580" w:type="dxa"/>
          </w:tcPr>
          <w:p w14:paraId="705A383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Tura, N et al, 2019 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[8]</w:t>
            </w:r>
          </w:p>
        </w:tc>
        <w:tc>
          <w:tcPr>
            <w:tcW w:w="1579" w:type="dxa"/>
          </w:tcPr>
          <w:p w14:paraId="502C78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51934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Behavior </w:t>
            </w:r>
          </w:p>
        </w:tc>
        <w:tc>
          <w:tcPr>
            <w:tcW w:w="1481" w:type="dxa"/>
          </w:tcPr>
          <w:p w14:paraId="42EEC27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Finland </w:t>
            </w:r>
          </w:p>
        </w:tc>
        <w:tc>
          <w:tcPr>
            <w:tcW w:w="1509" w:type="dxa"/>
          </w:tcPr>
          <w:p w14:paraId="5CA7571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</w:t>
            </w:r>
          </w:p>
        </w:tc>
        <w:tc>
          <w:tcPr>
            <w:tcW w:w="2664" w:type="dxa"/>
          </w:tcPr>
          <w:p w14:paraId="1AC459CF" w14:textId="1E137737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framework of drivers and barriers is introduced,</w:t>
            </w:r>
          </w:p>
        </w:tc>
        <w:tc>
          <w:tcPr>
            <w:tcW w:w="2700" w:type="dxa"/>
          </w:tcPr>
          <w:p w14:paraId="79B60ED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Mechanisms to avoid risk averseness that impedes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participation in the circular economy</w:t>
            </w:r>
          </w:p>
        </w:tc>
        <w:tc>
          <w:tcPr>
            <w:tcW w:w="1206" w:type="dxa"/>
          </w:tcPr>
          <w:p w14:paraId="5865757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Empirical </w:t>
            </w:r>
          </w:p>
        </w:tc>
      </w:tr>
      <w:tr w:rsidR="003202F1" w:rsidRPr="00FD71BF" w14:paraId="064EFEC9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7CC6AF8" w14:textId="4BA10F4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25</w:t>
            </w:r>
          </w:p>
        </w:tc>
        <w:tc>
          <w:tcPr>
            <w:tcW w:w="1580" w:type="dxa"/>
          </w:tcPr>
          <w:p w14:paraId="48305D9F" w14:textId="63086146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Ritala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P., 2019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[3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5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0284791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Book chapter</w:t>
            </w:r>
          </w:p>
        </w:tc>
        <w:tc>
          <w:tcPr>
            <w:tcW w:w="1579" w:type="dxa"/>
          </w:tcPr>
          <w:p w14:paraId="2F259F5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System</w:t>
            </w:r>
          </w:p>
        </w:tc>
        <w:tc>
          <w:tcPr>
            <w:tcW w:w="1481" w:type="dxa"/>
          </w:tcPr>
          <w:p w14:paraId="515F042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Finland </w:t>
            </w:r>
          </w:p>
        </w:tc>
        <w:tc>
          <w:tcPr>
            <w:tcW w:w="1509" w:type="dxa"/>
          </w:tcPr>
          <w:p w14:paraId="45304A4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</w:t>
            </w:r>
          </w:p>
        </w:tc>
        <w:tc>
          <w:tcPr>
            <w:tcW w:w="2664" w:type="dxa"/>
          </w:tcPr>
          <w:p w14:paraId="689F53E5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systems view to examine the issue through three perspectives: skeptical, pragmatic, and ideal</w:t>
            </w:r>
          </w:p>
        </w:tc>
        <w:tc>
          <w:tcPr>
            <w:tcW w:w="2700" w:type="dxa"/>
          </w:tcPr>
          <w:p w14:paraId="436275E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Empowering executive leaders to take the long view and pursue complementary strategies. </w:t>
            </w:r>
          </w:p>
        </w:tc>
        <w:tc>
          <w:tcPr>
            <w:tcW w:w="1206" w:type="dxa"/>
          </w:tcPr>
          <w:p w14:paraId="3352B0A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1358BF62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F9126E2" w14:textId="7CD4DF80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1580" w:type="dxa"/>
          </w:tcPr>
          <w:p w14:paraId="1E8D78F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Heurkens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E., &amp;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Dąbrowski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M. (2020) [6]</w:t>
            </w:r>
          </w:p>
          <w:p w14:paraId="3466F69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79" w:type="dxa"/>
          </w:tcPr>
          <w:p w14:paraId="6D0F150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76A5EE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Barriers  </w:t>
            </w:r>
          </w:p>
        </w:tc>
        <w:tc>
          <w:tcPr>
            <w:tcW w:w="1481" w:type="dxa"/>
          </w:tcPr>
          <w:p w14:paraId="56B114B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62739A3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Good governance </w:t>
            </w:r>
          </w:p>
        </w:tc>
        <w:tc>
          <w:tcPr>
            <w:tcW w:w="2664" w:type="dxa"/>
          </w:tcPr>
          <w:p w14:paraId="07F15BD3" w14:textId="6BD13525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Identify and understand barriers for CE transition at a regional scale.</w:t>
            </w:r>
          </w:p>
        </w:tc>
        <w:tc>
          <w:tcPr>
            <w:tcW w:w="2700" w:type="dxa"/>
          </w:tcPr>
          <w:p w14:paraId="515C679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Governance of emerging regional circular spatial-economic policies.</w:t>
            </w:r>
          </w:p>
        </w:tc>
        <w:tc>
          <w:tcPr>
            <w:tcW w:w="1206" w:type="dxa"/>
          </w:tcPr>
          <w:p w14:paraId="60FE358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4BFD932E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EB2DAAF" w14:textId="0D8F2C3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1580" w:type="dxa"/>
          </w:tcPr>
          <w:p w14:paraId="3E7C3B60" w14:textId="0AC3D355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Masanet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</w:t>
            </w:r>
            <w:r w:rsidR="008853A1" w:rsidRPr="00FD71B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8853A1" w:rsidRPr="00FD71BF">
              <w:rPr>
                <w:rFonts w:cstheme="minorHAnsi"/>
                <w:sz w:val="16"/>
                <w:szCs w:val="16"/>
              </w:rPr>
              <w:t>E.;et</w:t>
            </w:r>
            <w:proofErr w:type="spellEnd"/>
            <w:r w:rsidR="008853A1" w:rsidRPr="00FD71BF">
              <w:rPr>
                <w:rFonts w:cstheme="minorHAnsi"/>
                <w:sz w:val="16"/>
                <w:szCs w:val="16"/>
              </w:rPr>
              <w:t xml:space="preserve"> al, 2020 [70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</w:p>
        </w:tc>
        <w:tc>
          <w:tcPr>
            <w:tcW w:w="1579" w:type="dxa"/>
          </w:tcPr>
          <w:p w14:paraId="3EFE968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 paper</w:t>
            </w:r>
          </w:p>
        </w:tc>
        <w:tc>
          <w:tcPr>
            <w:tcW w:w="1579" w:type="dxa"/>
          </w:tcPr>
          <w:p w14:paraId="47E0E1C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IT architecture </w:t>
            </w:r>
          </w:p>
        </w:tc>
        <w:tc>
          <w:tcPr>
            <w:tcW w:w="1481" w:type="dxa"/>
          </w:tcPr>
          <w:p w14:paraId="19416B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7DC5E4C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Energy </w:t>
            </w:r>
          </w:p>
        </w:tc>
        <w:tc>
          <w:tcPr>
            <w:tcW w:w="2664" w:type="dxa"/>
          </w:tcPr>
          <w:p w14:paraId="2BE70AAD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Integrating Cloud Services into the IT Infrastructure of an Organization</w:t>
            </w:r>
          </w:p>
        </w:tc>
        <w:tc>
          <w:tcPr>
            <w:tcW w:w="2700" w:type="dxa"/>
          </w:tcPr>
          <w:p w14:paraId="59915AE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Designing an Enterprise’s IT Architecture in Compatibility with Cloud Services</w:t>
            </w:r>
          </w:p>
        </w:tc>
        <w:tc>
          <w:tcPr>
            <w:tcW w:w="1206" w:type="dxa"/>
          </w:tcPr>
          <w:p w14:paraId="3859116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Method</w:t>
            </w:r>
          </w:p>
        </w:tc>
      </w:tr>
      <w:tr w:rsidR="003202F1" w:rsidRPr="00FD71BF" w14:paraId="19119EF6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A0421BA" w14:textId="48A0C1A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1580" w:type="dxa"/>
          </w:tcPr>
          <w:p w14:paraId="6B8ECA7D" w14:textId="38D15823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Hacioglu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U., 2020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[73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5FFB092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Book</w:t>
            </w:r>
          </w:p>
        </w:tc>
        <w:tc>
          <w:tcPr>
            <w:tcW w:w="1579" w:type="dxa"/>
          </w:tcPr>
          <w:p w14:paraId="3C9B252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Data security </w:t>
            </w:r>
          </w:p>
        </w:tc>
        <w:tc>
          <w:tcPr>
            <w:tcW w:w="1481" w:type="dxa"/>
          </w:tcPr>
          <w:p w14:paraId="26ED89B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01C9C41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ICT</w:t>
            </w:r>
          </w:p>
        </w:tc>
        <w:tc>
          <w:tcPr>
            <w:tcW w:w="2664" w:type="dxa"/>
          </w:tcPr>
          <w:p w14:paraId="34749B8B" w14:textId="7B079925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Digital Business Strategies in </w:t>
            </w:r>
            <w:r w:rsidR="005A2BD5" w:rsidRPr="00FD71BF">
              <w:rPr>
                <w:rFonts w:cstheme="minorHAnsi"/>
                <w:sz w:val="16"/>
                <w:szCs w:val="16"/>
              </w:rPr>
              <w:t>Block chain</w:t>
            </w:r>
            <w:r w:rsidRPr="00FD71BF">
              <w:rPr>
                <w:rFonts w:cstheme="minorHAnsi"/>
                <w:sz w:val="16"/>
                <w:szCs w:val="16"/>
              </w:rPr>
              <w:t xml:space="preserve"> Ecosystems;</w:t>
            </w:r>
          </w:p>
        </w:tc>
        <w:tc>
          <w:tcPr>
            <w:tcW w:w="2700" w:type="dxa"/>
          </w:tcPr>
          <w:p w14:paraId="788000A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Information Safety and Security Ethics</w:t>
            </w:r>
          </w:p>
        </w:tc>
        <w:tc>
          <w:tcPr>
            <w:tcW w:w="1206" w:type="dxa"/>
          </w:tcPr>
          <w:p w14:paraId="61A52F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26C084D6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40C0381" w14:textId="5A3204E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1580" w:type="dxa"/>
          </w:tcPr>
          <w:p w14:paraId="6BEF5848" w14:textId="71FCD05E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Helbling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T., 2020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[3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8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581ABB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paper </w:t>
            </w:r>
          </w:p>
        </w:tc>
        <w:tc>
          <w:tcPr>
            <w:tcW w:w="1579" w:type="dxa"/>
          </w:tcPr>
          <w:p w14:paraId="14AAC03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Pricing externalities </w:t>
            </w:r>
          </w:p>
        </w:tc>
        <w:tc>
          <w:tcPr>
            <w:tcW w:w="1481" w:type="dxa"/>
          </w:tcPr>
          <w:p w14:paraId="759DAA2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3C9519F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Taxation </w:t>
            </w:r>
          </w:p>
        </w:tc>
        <w:tc>
          <w:tcPr>
            <w:tcW w:w="2664" w:type="dxa"/>
          </w:tcPr>
          <w:p w14:paraId="3F111DEC" w14:textId="388118A9" w:rsidR="003202F1" w:rsidRPr="00FD71BF" w:rsidRDefault="005A2BD5" w:rsidP="003C751C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Pricing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decisions </w:t>
            </w:r>
            <w:r w:rsidR="003C751C" w:rsidRPr="00FD71BF">
              <w:rPr>
                <w:rFonts w:cstheme="minorHAnsi"/>
                <w:sz w:val="16"/>
                <w:szCs w:val="16"/>
              </w:rPr>
              <w:t>model to include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pollution [34].</w:t>
            </w:r>
          </w:p>
        </w:tc>
        <w:tc>
          <w:tcPr>
            <w:tcW w:w="2700" w:type="dxa"/>
          </w:tcPr>
          <w:p w14:paraId="0EB5CBB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Pricing externalities, imposition of tax and finding new tax bases</w:t>
            </w:r>
          </w:p>
        </w:tc>
        <w:tc>
          <w:tcPr>
            <w:tcW w:w="1206" w:type="dxa"/>
          </w:tcPr>
          <w:p w14:paraId="6F55E5C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4D5DE90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58559AF0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2B4C56E" w14:textId="4BF3C91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1580" w:type="dxa"/>
          </w:tcPr>
          <w:p w14:paraId="2C06F5F0" w14:textId="64A16F12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Doukari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Omar &amp; Greenwood, David. (2020).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val="en-GB" w:eastAsia="en-US" w:bidi="ar-SA"/>
              </w:rPr>
              <w:t xml:space="preserve"> 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[84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2215BE0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3727AAB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Pre-demolition auditing </w:t>
            </w:r>
          </w:p>
        </w:tc>
        <w:tc>
          <w:tcPr>
            <w:tcW w:w="1481" w:type="dxa"/>
          </w:tcPr>
          <w:p w14:paraId="07CE2E9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UK</w:t>
            </w:r>
          </w:p>
        </w:tc>
        <w:tc>
          <w:tcPr>
            <w:tcW w:w="1509" w:type="dxa"/>
          </w:tcPr>
          <w:p w14:paraId="0BDD279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Architecture </w:t>
            </w:r>
          </w:p>
        </w:tc>
        <w:tc>
          <w:tcPr>
            <w:tcW w:w="2664" w:type="dxa"/>
          </w:tcPr>
          <w:p w14:paraId="3E44F7E4" w14:textId="0C1CFAF4" w:rsidR="003202F1" w:rsidRPr="00FD71BF" w:rsidRDefault="005A2BD5" w:rsidP="00F5335E">
            <w:pPr>
              <w:pStyle w:val="MDPI42tablebody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>uditor touring the site and making an inventory manually, or through creating a 3D digital model (BIM - Building Information Modeling) of</w:t>
            </w:r>
          </w:p>
          <w:p w14:paraId="76E6C176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the building</w:t>
            </w:r>
          </w:p>
        </w:tc>
        <w:tc>
          <w:tcPr>
            <w:tcW w:w="2700" w:type="dxa"/>
          </w:tcPr>
          <w:p w14:paraId="0D98D1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Digital modeling of buildings</w:t>
            </w:r>
          </w:p>
        </w:tc>
        <w:tc>
          <w:tcPr>
            <w:tcW w:w="1206" w:type="dxa"/>
          </w:tcPr>
          <w:p w14:paraId="3AB136A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  <w:p w14:paraId="3B8AD68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39549DEE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725E079" w14:textId="6276851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1580" w:type="dxa"/>
          </w:tcPr>
          <w:p w14:paraId="33216264" w14:textId="0FCBE306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Shahi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S, et al, 2020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[42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22C8676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7D33A26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Definition framework </w:t>
            </w:r>
          </w:p>
        </w:tc>
        <w:tc>
          <w:tcPr>
            <w:tcW w:w="1481" w:type="dxa"/>
          </w:tcPr>
          <w:p w14:paraId="40EAF86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Canada</w:t>
            </w:r>
          </w:p>
        </w:tc>
        <w:tc>
          <w:tcPr>
            <w:tcW w:w="1509" w:type="dxa"/>
          </w:tcPr>
          <w:p w14:paraId="11495C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Taxonomy </w:t>
            </w:r>
          </w:p>
        </w:tc>
        <w:tc>
          <w:tcPr>
            <w:tcW w:w="2664" w:type="dxa"/>
          </w:tcPr>
          <w:p w14:paraId="4676C0A1" w14:textId="24C9B8AA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efinition framework </w:t>
            </w:r>
            <w:r w:rsidR="003C751C" w:rsidRPr="00FD71BF">
              <w:rPr>
                <w:rFonts w:cstheme="minorHAnsi"/>
                <w:sz w:val="16"/>
                <w:szCs w:val="16"/>
              </w:rPr>
              <w:t>to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precise categorization of building adaptation projects</w:t>
            </w:r>
          </w:p>
        </w:tc>
        <w:tc>
          <w:tcPr>
            <w:tcW w:w="2700" w:type="dxa"/>
          </w:tcPr>
          <w:p w14:paraId="54C8CCC2" w14:textId="5ED49B19" w:rsidR="003202F1" w:rsidRPr="00FD71BF" w:rsidRDefault="005A2BD5" w:rsidP="005A2BD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</w:t>
            </w:r>
            <w:r w:rsidR="003202F1" w:rsidRPr="00FD71BF">
              <w:rPr>
                <w:rFonts w:cstheme="minorHAnsi"/>
                <w:sz w:val="16"/>
                <w:szCs w:val="16"/>
              </w:rPr>
              <w:t>evisit these terminologies to ensure alignment with the potentially changed nature of future project scopes.</w:t>
            </w:r>
          </w:p>
        </w:tc>
        <w:tc>
          <w:tcPr>
            <w:tcW w:w="1206" w:type="dxa"/>
          </w:tcPr>
          <w:p w14:paraId="36641A6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130DF679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E3B911E" w14:textId="77DDC336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1580" w:type="dxa"/>
          </w:tcPr>
          <w:p w14:paraId="4E3B2E0C" w14:textId="3F0F1996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Spišáková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M et al, 2021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[121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</w:t>
            </w:r>
          </w:p>
        </w:tc>
        <w:tc>
          <w:tcPr>
            <w:tcW w:w="1579" w:type="dxa"/>
          </w:tcPr>
          <w:p w14:paraId="4F626F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0E6900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Waste audit </w:t>
            </w:r>
          </w:p>
        </w:tc>
        <w:tc>
          <w:tcPr>
            <w:tcW w:w="1481" w:type="dxa"/>
          </w:tcPr>
          <w:p w14:paraId="6D3DF74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Slovakia</w:t>
            </w:r>
          </w:p>
        </w:tc>
        <w:tc>
          <w:tcPr>
            <w:tcW w:w="1509" w:type="dxa"/>
          </w:tcPr>
          <w:p w14:paraId="7D43F5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3336842A" w14:textId="79F599F1" w:rsidR="003202F1" w:rsidRPr="00FD71BF" w:rsidRDefault="005A2BD5" w:rsidP="003C751C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Waste</w:t>
            </w:r>
            <w:r w:rsidR="003C751C" w:rsidRPr="00FD71BF">
              <w:rPr>
                <w:rFonts w:cstheme="minorHAnsi"/>
                <w:sz w:val="16"/>
                <w:szCs w:val="16"/>
              </w:rPr>
              <w:t xml:space="preserve"> audit incorporating </w:t>
            </w:r>
            <w:r w:rsidR="003202F1" w:rsidRPr="00FD71BF">
              <w:rPr>
                <w:rFonts w:cstheme="minorHAnsi"/>
                <w:sz w:val="16"/>
                <w:szCs w:val="16"/>
              </w:rPr>
              <w:t>sustainability of construction projects. </w:t>
            </w:r>
          </w:p>
        </w:tc>
        <w:tc>
          <w:tcPr>
            <w:tcW w:w="2700" w:type="dxa"/>
          </w:tcPr>
          <w:p w14:paraId="4D78FD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site waste audit</w:t>
            </w:r>
          </w:p>
          <w:p w14:paraId="35A2D55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2DF7EB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042CC5A9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9B54352" w14:textId="1196DD5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1580" w:type="dxa"/>
          </w:tcPr>
          <w:p w14:paraId="59E45F94" w14:textId="22FB888F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Anne-Mari et 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>al  2021</w:t>
            </w:r>
            <w:proofErr w:type="gramEnd"/>
            <w:r w:rsidRPr="00FD71BF">
              <w:rPr>
                <w:rFonts w:cstheme="minorHAnsi"/>
                <w:sz w:val="16"/>
                <w:szCs w:val="16"/>
              </w:rPr>
              <w:t>[122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293392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3A955FC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sharing </w:t>
            </w:r>
          </w:p>
        </w:tc>
        <w:tc>
          <w:tcPr>
            <w:tcW w:w="1481" w:type="dxa"/>
          </w:tcPr>
          <w:p w14:paraId="0F874F8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Finland</w:t>
            </w:r>
          </w:p>
        </w:tc>
        <w:tc>
          <w:tcPr>
            <w:tcW w:w="1509" w:type="dxa"/>
          </w:tcPr>
          <w:p w14:paraId="55037EE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Production engineering </w:t>
            </w:r>
          </w:p>
        </w:tc>
        <w:tc>
          <w:tcPr>
            <w:tcW w:w="2664" w:type="dxa"/>
          </w:tcPr>
          <w:p w14:paraId="02295ED6" w14:textId="013EC61C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H</w:t>
            </w:r>
            <w:r w:rsidR="003202F1" w:rsidRPr="00FD71BF">
              <w:rPr>
                <w:rFonts w:cstheme="minorHAnsi"/>
                <w:sz w:val="16"/>
                <w:szCs w:val="16"/>
              </w:rPr>
              <w:t>ow Industry 4.0 is expected to improve the efficiency of waste or by-product flows</w:t>
            </w:r>
          </w:p>
        </w:tc>
        <w:tc>
          <w:tcPr>
            <w:tcW w:w="2700" w:type="dxa"/>
          </w:tcPr>
          <w:p w14:paraId="0827DA3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Propagating industrial Symbiosis</w:t>
            </w:r>
          </w:p>
        </w:tc>
        <w:tc>
          <w:tcPr>
            <w:tcW w:w="1206" w:type="dxa"/>
          </w:tcPr>
          <w:p w14:paraId="7BEB125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591157A3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4A79207" w14:textId="63B6FE3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1580" w:type="dxa"/>
          </w:tcPr>
          <w:p w14:paraId="6B99E1C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Bigliardi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et al. [31]</w:t>
            </w:r>
          </w:p>
        </w:tc>
        <w:tc>
          <w:tcPr>
            <w:tcW w:w="1579" w:type="dxa"/>
          </w:tcPr>
          <w:p w14:paraId="09772A7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article </w:t>
            </w:r>
          </w:p>
        </w:tc>
        <w:tc>
          <w:tcPr>
            <w:tcW w:w="1579" w:type="dxa"/>
          </w:tcPr>
          <w:p w14:paraId="3BA5FB3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Perception</w:t>
            </w:r>
          </w:p>
        </w:tc>
        <w:tc>
          <w:tcPr>
            <w:tcW w:w="1481" w:type="dxa"/>
          </w:tcPr>
          <w:p w14:paraId="69A345D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Italy </w:t>
            </w:r>
          </w:p>
        </w:tc>
        <w:tc>
          <w:tcPr>
            <w:tcW w:w="1509" w:type="dxa"/>
          </w:tcPr>
          <w:p w14:paraId="37BB59A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Marketing </w:t>
            </w:r>
          </w:p>
        </w:tc>
        <w:tc>
          <w:tcPr>
            <w:tcW w:w="2664" w:type="dxa"/>
          </w:tcPr>
          <w:p w14:paraId="296AD12E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Integrative Theoretical Framework</w:t>
            </w:r>
          </w:p>
        </w:tc>
        <w:tc>
          <w:tcPr>
            <w:tcW w:w="2700" w:type="dxa"/>
          </w:tcPr>
          <w:p w14:paraId="01E79B1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Recycled merchandise for circularity </w:t>
            </w:r>
          </w:p>
        </w:tc>
        <w:tc>
          <w:tcPr>
            <w:tcW w:w="1206" w:type="dxa"/>
          </w:tcPr>
          <w:p w14:paraId="2D34AE5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40EBCD7D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95BE7C1" w14:textId="7E4478F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1580" w:type="dxa"/>
          </w:tcPr>
          <w:p w14:paraId="25D67AEE" w14:textId="2B93BDA8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Vence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X.;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López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Pérez, 2021[8</w:t>
            </w:r>
            <w:r w:rsidR="008853A1" w:rsidRPr="00FD71BF">
              <w:rPr>
                <w:rFonts w:cstheme="minorHAnsi"/>
                <w:sz w:val="16"/>
                <w:szCs w:val="16"/>
              </w:rPr>
              <w:t>5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3036CF8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41C5654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Utility </w:t>
            </w:r>
          </w:p>
        </w:tc>
        <w:tc>
          <w:tcPr>
            <w:tcW w:w="1481" w:type="dxa"/>
          </w:tcPr>
          <w:p w14:paraId="4CCB6E2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Spain </w:t>
            </w:r>
          </w:p>
        </w:tc>
        <w:tc>
          <w:tcPr>
            <w:tcW w:w="1509" w:type="dxa"/>
          </w:tcPr>
          <w:p w14:paraId="334E60D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Taxation </w:t>
            </w:r>
          </w:p>
        </w:tc>
        <w:tc>
          <w:tcPr>
            <w:tcW w:w="2664" w:type="dxa"/>
          </w:tcPr>
          <w:p w14:paraId="60E6875A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New Instruments, Reforms, and Architectural Changes in the Fiscal System</w:t>
            </w:r>
          </w:p>
          <w:p w14:paraId="06E360B7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00" w:type="dxa"/>
          </w:tcPr>
          <w:p w14:paraId="5C01F7DD" w14:textId="7C659401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complete redesign of the currently opaque and significant amount of tax expenditure to transform environmentally harmful tax benefits into environmentally friendly tax measures that are suitable for the circular economy.</w:t>
            </w:r>
          </w:p>
        </w:tc>
        <w:tc>
          <w:tcPr>
            <w:tcW w:w="1206" w:type="dxa"/>
          </w:tcPr>
          <w:p w14:paraId="528EB9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4874B9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7404FBA1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136FCDE" w14:textId="23E1CA3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36</w:t>
            </w:r>
          </w:p>
        </w:tc>
        <w:tc>
          <w:tcPr>
            <w:tcW w:w="1580" w:type="dxa"/>
          </w:tcPr>
          <w:p w14:paraId="258F9CE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Tan, J.;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Tiwari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S.K, 2021[9].</w:t>
            </w:r>
          </w:p>
        </w:tc>
        <w:tc>
          <w:tcPr>
            <w:tcW w:w="1579" w:type="dxa"/>
          </w:tcPr>
          <w:p w14:paraId="1184067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10F9D3D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Recycling </w:t>
            </w:r>
          </w:p>
        </w:tc>
        <w:tc>
          <w:tcPr>
            <w:tcW w:w="1481" w:type="dxa"/>
          </w:tcPr>
          <w:p w14:paraId="5B3F835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Singapore </w:t>
            </w:r>
          </w:p>
        </w:tc>
        <w:tc>
          <w:tcPr>
            <w:tcW w:w="1509" w:type="dxa"/>
          </w:tcPr>
          <w:p w14:paraId="2E9E83F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Food service industry </w:t>
            </w:r>
          </w:p>
        </w:tc>
        <w:tc>
          <w:tcPr>
            <w:tcW w:w="2664" w:type="dxa"/>
          </w:tcPr>
          <w:p w14:paraId="123948AA" w14:textId="77115FC0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onsumers’ “intention-action gap” left progressive FSI establishments divided on taking on the additional cost of adopting more sustainable food packaging options </w:t>
            </w:r>
          </w:p>
        </w:tc>
        <w:tc>
          <w:tcPr>
            <w:tcW w:w="2700" w:type="dxa"/>
          </w:tcPr>
          <w:p w14:paraId="3AA5627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Awareness and policy intervention </w:t>
            </w:r>
          </w:p>
        </w:tc>
        <w:tc>
          <w:tcPr>
            <w:tcW w:w="1206" w:type="dxa"/>
          </w:tcPr>
          <w:p w14:paraId="75C0799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11A837D4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E3639CF" w14:textId="281861A6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1580" w:type="dxa"/>
          </w:tcPr>
          <w:p w14:paraId="0154B0D1" w14:textId="688D79A4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Milios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L., 2021[7</w:t>
            </w:r>
            <w:r w:rsidR="008853A1" w:rsidRPr="00FD71BF">
              <w:rPr>
                <w:rFonts w:cstheme="minorHAnsi"/>
                <w:sz w:val="16"/>
                <w:szCs w:val="16"/>
              </w:rPr>
              <w:t>8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290FE3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</w:t>
            </w:r>
          </w:p>
        </w:tc>
        <w:tc>
          <w:tcPr>
            <w:tcW w:w="1579" w:type="dxa"/>
          </w:tcPr>
          <w:p w14:paraId="619FE09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Recycling </w:t>
            </w:r>
          </w:p>
        </w:tc>
        <w:tc>
          <w:tcPr>
            <w:tcW w:w="1481" w:type="dxa"/>
          </w:tcPr>
          <w:p w14:paraId="4D78B3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Sweden </w:t>
            </w:r>
          </w:p>
        </w:tc>
        <w:tc>
          <w:tcPr>
            <w:tcW w:w="1509" w:type="dxa"/>
          </w:tcPr>
          <w:p w14:paraId="2A79CAF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Taxation </w:t>
            </w:r>
          </w:p>
        </w:tc>
        <w:tc>
          <w:tcPr>
            <w:tcW w:w="2664" w:type="dxa"/>
          </w:tcPr>
          <w:p w14:paraId="1D6B7BDC" w14:textId="5AE18727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</w:t>
            </w:r>
            <w:r w:rsidR="003202F1" w:rsidRPr="00FD71BF">
              <w:rPr>
                <w:rFonts w:cstheme="minorHAnsi"/>
                <w:sz w:val="16"/>
                <w:szCs w:val="16"/>
              </w:rPr>
              <w:t>everal implementation challenges are identified, and potential solutions are discussed according to literature and empirical sources</w:t>
            </w:r>
          </w:p>
        </w:tc>
        <w:tc>
          <w:tcPr>
            <w:tcW w:w="2700" w:type="dxa"/>
          </w:tcPr>
          <w:p w14:paraId="3F7B678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Each of the tax proposals needs a more detailed examination for its specificities of implementation, following the results of this study.</w:t>
            </w:r>
          </w:p>
        </w:tc>
        <w:tc>
          <w:tcPr>
            <w:tcW w:w="1206" w:type="dxa"/>
          </w:tcPr>
          <w:p w14:paraId="7C3ED61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30CE69A9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D728313" w14:textId="4A66EED4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1580" w:type="dxa"/>
          </w:tcPr>
          <w:p w14:paraId="2D1B5F8C" w14:textId="57CAC357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Paulo de Sa &amp; Jane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Korinek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2021[6</w:t>
            </w:r>
            <w:r w:rsidR="008853A1" w:rsidRPr="00FD71BF">
              <w:rPr>
                <w:rFonts w:cstheme="minorHAnsi"/>
                <w:sz w:val="16"/>
                <w:szCs w:val="16"/>
              </w:rPr>
              <w:t>7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E2D4A3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paper </w:t>
            </w:r>
          </w:p>
        </w:tc>
        <w:tc>
          <w:tcPr>
            <w:tcW w:w="1579" w:type="dxa"/>
          </w:tcPr>
          <w:p w14:paraId="7A84D6F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Resource efficiency</w:t>
            </w:r>
          </w:p>
          <w:p w14:paraId="55381B1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81" w:type="dxa"/>
          </w:tcPr>
          <w:p w14:paraId="647465A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606D5E4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Trading in minerals </w:t>
            </w:r>
          </w:p>
        </w:tc>
        <w:tc>
          <w:tcPr>
            <w:tcW w:w="2664" w:type="dxa"/>
          </w:tcPr>
          <w:p w14:paraId="5EC6F873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Savings to offset and reduce the green premium to a price range acceptable by mass consumers.</w:t>
            </w:r>
          </w:p>
        </w:tc>
        <w:tc>
          <w:tcPr>
            <w:tcW w:w="2700" w:type="dxa"/>
          </w:tcPr>
          <w:p w14:paraId="12363D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Trading in recovered materials for economies of scale </w:t>
            </w:r>
          </w:p>
        </w:tc>
        <w:tc>
          <w:tcPr>
            <w:tcW w:w="1206" w:type="dxa"/>
          </w:tcPr>
          <w:p w14:paraId="45D3DD4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6BDDA34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 </w:t>
            </w:r>
          </w:p>
        </w:tc>
      </w:tr>
      <w:tr w:rsidR="003202F1" w:rsidRPr="00FD71BF" w14:paraId="603B4C71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9B84425" w14:textId="69E5067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1580" w:type="dxa"/>
          </w:tcPr>
          <w:p w14:paraId="2D1B31C9" w14:textId="6C696AA8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Lars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Repp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et al, 2021[4</w:t>
            </w:r>
            <w:r w:rsidR="008853A1" w:rsidRPr="00FD71BF">
              <w:rPr>
                <w:rFonts w:cstheme="minorHAnsi"/>
                <w:sz w:val="16"/>
                <w:szCs w:val="16"/>
              </w:rPr>
              <w:t>5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751A6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274906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Employment </w:t>
            </w:r>
          </w:p>
        </w:tc>
        <w:tc>
          <w:tcPr>
            <w:tcW w:w="1481" w:type="dxa"/>
          </w:tcPr>
          <w:p w14:paraId="2CD440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65ABA48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Labour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economics </w:t>
            </w:r>
          </w:p>
        </w:tc>
        <w:tc>
          <w:tcPr>
            <w:tcW w:w="2664" w:type="dxa"/>
          </w:tcPr>
          <w:p w14:paraId="04D461CF" w14:textId="4186CAC1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Evidence-based discussion on the intended and unintended global social impacts, such as changes in employment, of the European Union's (EU) transition towards the Cir</w:t>
            </w:r>
            <w:r w:rsidR="005A2BD5">
              <w:rPr>
                <w:rFonts w:cstheme="minorHAnsi"/>
                <w:sz w:val="16"/>
                <w:szCs w:val="16"/>
              </w:rPr>
              <w:t xml:space="preserve">cular Economy </w:t>
            </w:r>
          </w:p>
        </w:tc>
        <w:tc>
          <w:tcPr>
            <w:tcW w:w="2700" w:type="dxa"/>
          </w:tcPr>
          <w:p w14:paraId="62B8F898" w14:textId="3B59B6F6" w:rsidR="003202F1" w:rsidRPr="00FD71BF" w:rsidRDefault="005A2BD5" w:rsidP="005A2BD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</w:t>
            </w:r>
            <w:r w:rsidR="003202F1" w:rsidRPr="00FD71BF">
              <w:rPr>
                <w:rFonts w:cstheme="minorHAnsi"/>
                <w:sz w:val="16"/>
                <w:szCs w:val="16"/>
              </w:rPr>
              <w:t>equire a more comprehensive analysis of social effects beyond employment. </w:t>
            </w:r>
          </w:p>
        </w:tc>
        <w:tc>
          <w:tcPr>
            <w:tcW w:w="1206" w:type="dxa"/>
          </w:tcPr>
          <w:p w14:paraId="6D25DA7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6110BE9C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DF067E3" w14:textId="12360010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1580" w:type="dxa"/>
          </w:tcPr>
          <w:p w14:paraId="6ACE4B53" w14:textId="05B2693E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Mohd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Zairul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>, 2021</w:t>
            </w:r>
            <w:r w:rsidR="008853A1" w:rsidRPr="00FD71BF">
              <w:rPr>
                <w:rFonts w:cstheme="minorHAnsi"/>
                <w:sz w:val="16"/>
                <w:szCs w:val="16"/>
              </w:rPr>
              <w:t>[49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72CA38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review</w:t>
            </w:r>
          </w:p>
        </w:tc>
        <w:tc>
          <w:tcPr>
            <w:tcW w:w="1579" w:type="dxa"/>
          </w:tcPr>
          <w:p w14:paraId="5689DC3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Pre-fabrication </w:t>
            </w:r>
          </w:p>
        </w:tc>
        <w:tc>
          <w:tcPr>
            <w:tcW w:w="1481" w:type="dxa"/>
          </w:tcPr>
          <w:p w14:paraId="01D2EF7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Malaysia</w:t>
            </w:r>
          </w:p>
        </w:tc>
        <w:tc>
          <w:tcPr>
            <w:tcW w:w="1509" w:type="dxa"/>
          </w:tcPr>
          <w:p w14:paraId="1439AA3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034478E6" w14:textId="5AC5F3F7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new framework of research trends in the prefabricated buildings with a CE approach in the industry</w:t>
            </w:r>
          </w:p>
        </w:tc>
        <w:tc>
          <w:tcPr>
            <w:tcW w:w="2700" w:type="dxa"/>
          </w:tcPr>
          <w:p w14:paraId="74DEC367" w14:textId="1984CADA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</w:t>
            </w:r>
            <w:r w:rsidR="003202F1" w:rsidRPr="00FD71BF">
              <w:rPr>
                <w:rFonts w:cstheme="minorHAnsi"/>
                <w:sz w:val="16"/>
                <w:szCs w:val="16"/>
              </w:rPr>
              <w:t>oves from off-site to use of prefabrication techniques</w:t>
            </w:r>
          </w:p>
        </w:tc>
        <w:tc>
          <w:tcPr>
            <w:tcW w:w="1206" w:type="dxa"/>
          </w:tcPr>
          <w:p w14:paraId="20FB3AF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11D0D82C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A6D5411" w14:textId="3CAD30D1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1580" w:type="dxa"/>
          </w:tcPr>
          <w:p w14:paraId="2F3EF182" w14:textId="3EEC778A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Melati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K et al, 2021[</w:t>
            </w:r>
            <w:r w:rsidR="008853A1" w:rsidRPr="00FD71BF">
              <w:rPr>
                <w:rFonts w:cstheme="minorHAnsi"/>
                <w:sz w:val="16"/>
                <w:szCs w:val="16"/>
              </w:rPr>
              <w:t>80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1CC3E03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217C9B1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Barriers and Drivers</w:t>
            </w:r>
          </w:p>
        </w:tc>
        <w:tc>
          <w:tcPr>
            <w:tcW w:w="1481" w:type="dxa"/>
          </w:tcPr>
          <w:p w14:paraId="445641F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Sweden </w:t>
            </w:r>
          </w:p>
        </w:tc>
        <w:tc>
          <w:tcPr>
            <w:tcW w:w="1509" w:type="dxa"/>
          </w:tcPr>
          <w:p w14:paraId="3C2D18D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Environmental science </w:t>
            </w:r>
          </w:p>
        </w:tc>
        <w:tc>
          <w:tcPr>
            <w:tcW w:w="2664" w:type="dxa"/>
          </w:tcPr>
          <w:p w14:paraId="291FAD5B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 know-how to shift from linear to circular product life cycles—for example, [45].</w:t>
            </w:r>
          </w:p>
        </w:tc>
        <w:tc>
          <w:tcPr>
            <w:tcW w:w="2700" w:type="dxa"/>
          </w:tcPr>
          <w:p w14:paraId="3F4A321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 business strategy, product design, and material flow—and other relevant insights</w:t>
            </w:r>
          </w:p>
        </w:tc>
        <w:tc>
          <w:tcPr>
            <w:tcW w:w="1206" w:type="dxa"/>
          </w:tcPr>
          <w:p w14:paraId="1C7028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  <w:p w14:paraId="15BD14B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44856FB7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401D718" w14:textId="5B3694F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1580" w:type="dxa"/>
          </w:tcPr>
          <w:p w14:paraId="25A575A8" w14:textId="366FCACD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Melella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R et al, 2021[9</w:t>
            </w:r>
            <w:r w:rsidR="008853A1" w:rsidRPr="00FD71BF">
              <w:rPr>
                <w:rFonts w:cstheme="minorHAnsi"/>
                <w:sz w:val="16"/>
                <w:szCs w:val="16"/>
              </w:rPr>
              <w:t>3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579F81E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1D46520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Construction modelling  </w:t>
            </w:r>
          </w:p>
        </w:tc>
        <w:tc>
          <w:tcPr>
            <w:tcW w:w="1481" w:type="dxa"/>
          </w:tcPr>
          <w:p w14:paraId="2DC5C6B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Italy </w:t>
            </w:r>
          </w:p>
        </w:tc>
        <w:tc>
          <w:tcPr>
            <w:tcW w:w="1509" w:type="dxa"/>
          </w:tcPr>
          <w:p w14:paraId="17650AB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Construction management</w:t>
            </w:r>
          </w:p>
        </w:tc>
        <w:tc>
          <w:tcPr>
            <w:tcW w:w="2664" w:type="dxa"/>
          </w:tcPr>
          <w:p w14:paraId="7C7199EF" w14:textId="0E80AB25" w:rsidR="003202F1" w:rsidRPr="00FD71BF" w:rsidRDefault="003202F1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</w:t>
            </w:r>
            <w:r w:rsidR="005A2BD5">
              <w:rPr>
                <w:rFonts w:cstheme="minorHAnsi"/>
                <w:sz w:val="16"/>
                <w:szCs w:val="16"/>
              </w:rPr>
              <w:t xml:space="preserve">ed </w:t>
            </w:r>
            <w:r w:rsidRPr="00FD71BF">
              <w:rPr>
                <w:rFonts w:cstheme="minorHAnsi"/>
                <w:sz w:val="16"/>
                <w:szCs w:val="16"/>
              </w:rPr>
              <w:t>a</w:t>
            </w:r>
            <w:r w:rsidR="005A2BD5">
              <w:rPr>
                <w:rFonts w:cstheme="minorHAnsi"/>
                <w:sz w:val="16"/>
                <w:szCs w:val="16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</w:rPr>
              <w:t>Selective, Low CO2eq Disassembly and Demolition Plan</w:t>
            </w:r>
          </w:p>
        </w:tc>
        <w:tc>
          <w:tcPr>
            <w:tcW w:w="2700" w:type="dxa"/>
          </w:tcPr>
          <w:p w14:paraId="2D2B70A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 model to ease out disassembly and  damage </w:t>
            </w:r>
          </w:p>
        </w:tc>
        <w:tc>
          <w:tcPr>
            <w:tcW w:w="1206" w:type="dxa"/>
          </w:tcPr>
          <w:p w14:paraId="768E19E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62FD0353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E1B986B" w14:textId="57FCEBA4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1580" w:type="dxa"/>
          </w:tcPr>
          <w:p w14:paraId="13B33204" w14:textId="6B2A8DA2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Maury-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Ramírez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A et al, 2022[10</w:t>
            </w:r>
            <w:r w:rsidR="008853A1" w:rsidRPr="00FD71BF">
              <w:rPr>
                <w:rFonts w:cstheme="minorHAnsi"/>
                <w:sz w:val="16"/>
                <w:szCs w:val="16"/>
              </w:rPr>
              <w:t>8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5C92819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7B8187C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Construction modelling  </w:t>
            </w:r>
          </w:p>
        </w:tc>
        <w:tc>
          <w:tcPr>
            <w:tcW w:w="1481" w:type="dxa"/>
          </w:tcPr>
          <w:p w14:paraId="3342603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Colombia</w:t>
            </w:r>
          </w:p>
        </w:tc>
        <w:tc>
          <w:tcPr>
            <w:tcW w:w="1509" w:type="dxa"/>
          </w:tcPr>
          <w:p w14:paraId="1471FB1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Construction management</w:t>
            </w:r>
          </w:p>
        </w:tc>
        <w:tc>
          <w:tcPr>
            <w:tcW w:w="2664" w:type="dxa"/>
          </w:tcPr>
          <w:p w14:paraId="73BB7F45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Developed a model proposing an innovative product portfolio for the use of construction and demolition waste (C&amp;DW) supported in applied research</w:t>
            </w:r>
          </w:p>
        </w:tc>
        <w:tc>
          <w:tcPr>
            <w:tcW w:w="2700" w:type="dxa"/>
          </w:tcPr>
          <w:p w14:paraId="7B0E5D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Modeling on  efficient use of construction materials, recovery of ecosystems and the circular flow of rocky materials</w:t>
            </w:r>
          </w:p>
        </w:tc>
        <w:tc>
          <w:tcPr>
            <w:tcW w:w="1206" w:type="dxa"/>
          </w:tcPr>
          <w:p w14:paraId="7136EBB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1093CCD3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F756424" w14:textId="1CE8E9B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1580" w:type="dxa"/>
          </w:tcPr>
          <w:p w14:paraId="758F7C83" w14:textId="0C7BAAEA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Mohammad </w:t>
            </w:r>
            <w:proofErr w:type="spellStart"/>
            <w:r w:rsidR="008853A1" w:rsidRPr="00FD71BF">
              <w:rPr>
                <w:rFonts w:cstheme="minorHAnsi"/>
                <w:sz w:val="16"/>
                <w:szCs w:val="16"/>
              </w:rPr>
              <w:t>Mahboob</w:t>
            </w:r>
            <w:proofErr w:type="spellEnd"/>
            <w:r w:rsidR="008853A1" w:rsidRPr="00FD71B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="008853A1" w:rsidRPr="00FD71BF">
              <w:rPr>
                <w:rFonts w:cstheme="minorHAnsi"/>
                <w:sz w:val="16"/>
                <w:szCs w:val="16"/>
              </w:rPr>
              <w:t>Morshed</w:t>
            </w:r>
            <w:proofErr w:type="spellEnd"/>
            <w:r w:rsidR="008853A1" w:rsidRPr="00FD71BF">
              <w:rPr>
                <w:rFonts w:cstheme="minorHAnsi"/>
                <w:sz w:val="16"/>
                <w:szCs w:val="16"/>
              </w:rPr>
              <w:t xml:space="preserve"> (2022) [82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1CA899B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0B1DB92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Sustainable education </w:t>
            </w:r>
          </w:p>
        </w:tc>
        <w:tc>
          <w:tcPr>
            <w:tcW w:w="1481" w:type="dxa"/>
          </w:tcPr>
          <w:p w14:paraId="0E54E57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Bangladesh </w:t>
            </w:r>
          </w:p>
        </w:tc>
        <w:tc>
          <w:tcPr>
            <w:tcW w:w="1509" w:type="dxa"/>
          </w:tcPr>
          <w:p w14:paraId="69F2AC1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Education </w:t>
            </w:r>
          </w:p>
        </w:tc>
        <w:tc>
          <w:tcPr>
            <w:tcW w:w="2664" w:type="dxa"/>
          </w:tcPr>
          <w:p w14:paraId="1DC1B7BE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Role of collaborations as a part of international mandates in favor of SDGs</w:t>
            </w:r>
          </w:p>
        </w:tc>
        <w:tc>
          <w:tcPr>
            <w:tcW w:w="2700" w:type="dxa"/>
          </w:tcPr>
          <w:p w14:paraId="2BB2BA6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 on industry partnership and consultative boards for circular applications</w:t>
            </w:r>
          </w:p>
        </w:tc>
        <w:tc>
          <w:tcPr>
            <w:tcW w:w="1206" w:type="dxa"/>
          </w:tcPr>
          <w:p w14:paraId="02A50A9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03E6F93D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1257434" w14:textId="2E5AE3FA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1580" w:type="dxa"/>
          </w:tcPr>
          <w:p w14:paraId="64E7A630" w14:textId="62FF383A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Pheifer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A, 2022[68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25DF5B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04BB871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Barriers and Enablers</w:t>
            </w:r>
          </w:p>
        </w:tc>
        <w:tc>
          <w:tcPr>
            <w:tcW w:w="1481" w:type="dxa"/>
          </w:tcPr>
          <w:p w14:paraId="293AD1C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508E974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Business modeling </w:t>
            </w:r>
          </w:p>
        </w:tc>
        <w:tc>
          <w:tcPr>
            <w:tcW w:w="2664" w:type="dxa"/>
          </w:tcPr>
          <w:p w14:paraId="094DA243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Pheifer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[31] argues that the absence of pricing externalities allowed mass-market products to be produced at a low cost</w:t>
            </w:r>
          </w:p>
        </w:tc>
        <w:tc>
          <w:tcPr>
            <w:tcW w:w="2700" w:type="dxa"/>
          </w:tcPr>
          <w:p w14:paraId="02568B4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Revising tax in green initiatives, finding new tax bases and tax concessions</w:t>
            </w:r>
          </w:p>
        </w:tc>
        <w:tc>
          <w:tcPr>
            <w:tcW w:w="1206" w:type="dxa"/>
          </w:tcPr>
          <w:p w14:paraId="4D2AF43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41E4C6C1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EF43FD3" w14:textId="6FE8C72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1580" w:type="dxa"/>
          </w:tcPr>
          <w:p w14:paraId="0B415101" w14:textId="183BDCA4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Kavitha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lastRenderedPageBreak/>
              <w:t>Shanmugam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et al, 2022[4</w:t>
            </w:r>
            <w:r w:rsidR="008853A1" w:rsidRPr="00FD71BF">
              <w:rPr>
                <w:rFonts w:cstheme="minorHAnsi"/>
                <w:sz w:val="16"/>
                <w:szCs w:val="16"/>
              </w:rPr>
              <w:t>1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3CD548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Research </w:t>
            </w:r>
          </w:p>
        </w:tc>
        <w:tc>
          <w:tcPr>
            <w:tcW w:w="1579" w:type="dxa"/>
          </w:tcPr>
          <w:p w14:paraId="5731801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Assessment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framework </w:t>
            </w:r>
          </w:p>
        </w:tc>
        <w:tc>
          <w:tcPr>
            <w:tcW w:w="1481" w:type="dxa"/>
          </w:tcPr>
          <w:p w14:paraId="210C98A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Sweden </w:t>
            </w:r>
          </w:p>
        </w:tc>
        <w:tc>
          <w:tcPr>
            <w:tcW w:w="1509" w:type="dxa"/>
          </w:tcPr>
          <w:p w14:paraId="7B49EAE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Waste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management </w:t>
            </w:r>
          </w:p>
        </w:tc>
        <w:tc>
          <w:tcPr>
            <w:tcW w:w="2664" w:type="dxa"/>
          </w:tcPr>
          <w:p w14:paraId="5DC599C0" w14:textId="1E521AA3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lastRenderedPageBreak/>
              <w:t>P</w:t>
            </w:r>
            <w:r w:rsidR="00FD71BF" w:rsidRPr="00FD71BF">
              <w:rPr>
                <w:rFonts w:cstheme="minorHAnsi"/>
                <w:sz w:val="16"/>
                <w:szCs w:val="16"/>
              </w:rPr>
              <w:t xml:space="preserve">resents a five-layered </w:t>
            </w:r>
            <w:r w:rsidR="00FD71BF" w:rsidRPr="00FD71BF">
              <w:rPr>
                <w:rFonts w:cstheme="minorHAnsi"/>
                <w:sz w:val="16"/>
                <w:szCs w:val="16"/>
              </w:rPr>
              <w:lastRenderedPageBreak/>
              <w:t>assessment framework for quantitatively evaluating the sustainable value of municipal WWTPs by using life cycle assessment (LCA) and life cycle costing assessment (LCCA) tools</w:t>
            </w:r>
          </w:p>
        </w:tc>
        <w:tc>
          <w:tcPr>
            <w:tcW w:w="2700" w:type="dxa"/>
          </w:tcPr>
          <w:p w14:paraId="00A84215" w14:textId="131FC1B7" w:rsidR="003202F1" w:rsidRPr="00FD71BF" w:rsidRDefault="00FD71BF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If integrated with other fields and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concepts such as urban planning and urban metabolism, the framework could serve as the basis of a decision support software tool to help stakeholders formulate effective strategies for improving the circularity performance of urban WWTPs.</w:t>
            </w:r>
          </w:p>
        </w:tc>
        <w:tc>
          <w:tcPr>
            <w:tcW w:w="1206" w:type="dxa"/>
          </w:tcPr>
          <w:p w14:paraId="51FBBF3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Theory  </w:t>
            </w:r>
          </w:p>
        </w:tc>
      </w:tr>
      <w:tr w:rsidR="003202F1" w:rsidRPr="00FD71BF" w14:paraId="244B20A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0A9AA84" w14:textId="502C50F9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47</w:t>
            </w:r>
          </w:p>
        </w:tc>
        <w:tc>
          <w:tcPr>
            <w:tcW w:w="1580" w:type="dxa"/>
          </w:tcPr>
          <w:p w14:paraId="07FF399C" w14:textId="5D026C95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Thomas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Budde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Christensen, et al, 2022[6</w:t>
            </w:r>
            <w:r w:rsidR="008853A1" w:rsidRPr="00FD71BF">
              <w:rPr>
                <w:rFonts w:cstheme="minorHAnsi"/>
                <w:sz w:val="16"/>
                <w:szCs w:val="16"/>
              </w:rPr>
              <w:t>9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551DD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 </w:t>
            </w:r>
          </w:p>
        </w:tc>
        <w:tc>
          <w:tcPr>
            <w:tcW w:w="1579" w:type="dxa"/>
          </w:tcPr>
          <w:p w14:paraId="10A0F1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demolition Resource mapping </w:t>
            </w:r>
          </w:p>
        </w:tc>
        <w:tc>
          <w:tcPr>
            <w:tcW w:w="1481" w:type="dxa"/>
          </w:tcPr>
          <w:p w14:paraId="0956A0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Denmark </w:t>
            </w:r>
          </w:p>
        </w:tc>
        <w:tc>
          <w:tcPr>
            <w:tcW w:w="1509" w:type="dxa"/>
          </w:tcPr>
          <w:p w14:paraId="5B58DDF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Resource management  </w:t>
            </w:r>
          </w:p>
        </w:tc>
        <w:tc>
          <w:tcPr>
            <w:tcW w:w="2664" w:type="dxa"/>
          </w:tcPr>
          <w:p w14:paraId="7B4829CA" w14:textId="4F313DC3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E</w:t>
            </w:r>
            <w:r w:rsidR="003202F1" w:rsidRPr="00FD71BF">
              <w:rPr>
                <w:rFonts w:cstheme="minorHAnsi"/>
                <w:sz w:val="16"/>
                <w:szCs w:val="16"/>
              </w:rPr>
              <w:t>xplored the creation of a closed-loop production and consumption value chain, </w:t>
            </w:r>
          </w:p>
        </w:tc>
        <w:tc>
          <w:tcPr>
            <w:tcW w:w="2700" w:type="dxa"/>
          </w:tcPr>
          <w:p w14:paraId="1A781B2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Building regulations already demand pre-demolition resource mapping, while a similar demand is anticipated to be implemented in Denmark in 2023. </w:t>
            </w:r>
          </w:p>
        </w:tc>
        <w:tc>
          <w:tcPr>
            <w:tcW w:w="1206" w:type="dxa"/>
          </w:tcPr>
          <w:p w14:paraId="0CB668E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</w:t>
            </w:r>
          </w:p>
          <w:p w14:paraId="4CE2650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5138F8CA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1306F59" w14:textId="4F2B306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1580" w:type="dxa"/>
          </w:tcPr>
          <w:p w14:paraId="6A2C8A83" w14:textId="1843B2FD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Chunbo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Zhang et al, 2022[3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49CAB40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006A6F9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Public accountability </w:t>
            </w:r>
          </w:p>
        </w:tc>
        <w:tc>
          <w:tcPr>
            <w:tcW w:w="1481" w:type="dxa"/>
          </w:tcPr>
          <w:p w14:paraId="0E4749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5FD0DBF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Waste management in construction </w:t>
            </w:r>
          </w:p>
        </w:tc>
        <w:tc>
          <w:tcPr>
            <w:tcW w:w="2664" w:type="dxa"/>
          </w:tcPr>
          <w:p w14:paraId="6A943470" w14:textId="424919D5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W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aste hierarchy framework for analyzing the circularity in construction and demolition waste management </w:t>
            </w:r>
          </w:p>
          <w:p w14:paraId="52ACA5C5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00" w:type="dxa"/>
          </w:tcPr>
          <w:p w14:paraId="446064C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Exploring “polluter-pays” principle in managing public waste and enhancing efficacy of government subsidizing </w:t>
            </w:r>
          </w:p>
        </w:tc>
        <w:tc>
          <w:tcPr>
            <w:tcW w:w="1206" w:type="dxa"/>
          </w:tcPr>
          <w:p w14:paraId="4107544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7E16B58E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1AD44C9" w14:textId="0734D4FB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1580" w:type="dxa"/>
          </w:tcPr>
          <w:p w14:paraId="3F349FF9" w14:textId="5523F539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Papadaki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Det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al, 2022[9</w:t>
            </w:r>
            <w:r w:rsidR="008853A1" w:rsidRPr="00FD71BF">
              <w:rPr>
                <w:rFonts w:cstheme="minorHAnsi"/>
                <w:sz w:val="16"/>
                <w:szCs w:val="16"/>
              </w:rPr>
              <w:t>7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0E9DBD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06A38C6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Renewable Energy</w:t>
            </w:r>
          </w:p>
        </w:tc>
        <w:tc>
          <w:tcPr>
            <w:tcW w:w="1481" w:type="dxa"/>
          </w:tcPr>
          <w:p w14:paraId="4B4E990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21513ED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Energy economics </w:t>
            </w:r>
          </w:p>
        </w:tc>
        <w:tc>
          <w:tcPr>
            <w:tcW w:w="2664" w:type="dxa"/>
          </w:tcPr>
          <w:p w14:paraId="44E498C5" w14:textId="56C5B237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>ssess</w:t>
            </w:r>
            <w:r>
              <w:rPr>
                <w:rFonts w:cstheme="minorHAnsi"/>
                <w:sz w:val="16"/>
                <w:szCs w:val="16"/>
              </w:rPr>
              <w:t>ed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circularity processes for the construction industry with a life cycle assessment (LCA)</w:t>
            </w:r>
          </w:p>
        </w:tc>
        <w:tc>
          <w:tcPr>
            <w:tcW w:w="2700" w:type="dxa"/>
          </w:tcPr>
          <w:p w14:paraId="10C58F2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Integrating circular processes regarding recycling and reusing materials in construction and energy-generating sector.</w:t>
            </w:r>
          </w:p>
        </w:tc>
        <w:tc>
          <w:tcPr>
            <w:tcW w:w="1206" w:type="dxa"/>
          </w:tcPr>
          <w:p w14:paraId="061210A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183FAB73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83FFA54" w14:textId="10DB6453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50</w:t>
            </w:r>
          </w:p>
        </w:tc>
        <w:tc>
          <w:tcPr>
            <w:tcW w:w="1580" w:type="dxa"/>
          </w:tcPr>
          <w:p w14:paraId="5973382A" w14:textId="4FAA7438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Figge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F.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>,et</w:t>
            </w:r>
            <w:proofErr w:type="spellEnd"/>
            <w:proofErr w:type="gramEnd"/>
            <w:r w:rsidRPr="00FD71BF">
              <w:rPr>
                <w:rFonts w:cstheme="minorHAnsi"/>
                <w:sz w:val="16"/>
                <w:szCs w:val="16"/>
              </w:rPr>
              <w:t xml:space="preserve"> al, 2022[8</w:t>
            </w:r>
            <w:r w:rsidR="008853A1" w:rsidRPr="00FD71BF">
              <w:rPr>
                <w:rFonts w:cstheme="minorHAnsi"/>
                <w:sz w:val="16"/>
                <w:szCs w:val="16"/>
              </w:rPr>
              <w:t>6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343E80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CCD943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Externalities </w:t>
            </w:r>
          </w:p>
        </w:tc>
        <w:tc>
          <w:tcPr>
            <w:tcW w:w="1481" w:type="dxa"/>
          </w:tcPr>
          <w:p w14:paraId="55BB03C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France </w:t>
            </w:r>
          </w:p>
        </w:tc>
        <w:tc>
          <w:tcPr>
            <w:tcW w:w="1509" w:type="dxa"/>
          </w:tcPr>
          <w:p w14:paraId="028DADD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Taxation </w:t>
            </w:r>
          </w:p>
        </w:tc>
        <w:tc>
          <w:tcPr>
            <w:tcW w:w="2664" w:type="dxa"/>
          </w:tcPr>
          <w:p w14:paraId="1051ABFA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Integrating the costs of environmental externalities.</w:t>
            </w:r>
          </w:p>
        </w:tc>
        <w:tc>
          <w:tcPr>
            <w:tcW w:w="2700" w:type="dxa"/>
          </w:tcPr>
          <w:p w14:paraId="283F5E21" w14:textId="795ACA82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value created by these externalities can be assessed when evaluating environmental resource use.</w:t>
            </w:r>
          </w:p>
        </w:tc>
        <w:tc>
          <w:tcPr>
            <w:tcW w:w="1206" w:type="dxa"/>
          </w:tcPr>
          <w:p w14:paraId="220AED5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655F33F4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DA11EE3" w14:textId="4BA46E09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51</w:t>
            </w:r>
          </w:p>
        </w:tc>
        <w:tc>
          <w:tcPr>
            <w:tcW w:w="1580" w:type="dxa"/>
          </w:tcPr>
          <w:p w14:paraId="092AC894" w14:textId="0AEE25F0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Sivers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et al, 2022 [8</w:t>
            </w:r>
            <w:r w:rsidR="008853A1" w:rsidRPr="00FD71BF">
              <w:rPr>
                <w:rFonts w:cstheme="minorHAnsi"/>
                <w:sz w:val="16"/>
                <w:szCs w:val="16"/>
              </w:rPr>
              <w:t>7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495D8EA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2535D7E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Sales platforms </w:t>
            </w:r>
          </w:p>
        </w:tc>
        <w:tc>
          <w:tcPr>
            <w:tcW w:w="1481" w:type="dxa"/>
          </w:tcPr>
          <w:p w14:paraId="1DA7DCA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Switzerland</w:t>
            </w:r>
          </w:p>
        </w:tc>
        <w:tc>
          <w:tcPr>
            <w:tcW w:w="1509" w:type="dxa"/>
          </w:tcPr>
          <w:p w14:paraId="4BC9E86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Marketing </w:t>
            </w:r>
          </w:p>
        </w:tc>
        <w:tc>
          <w:tcPr>
            <w:tcW w:w="2664" w:type="dxa"/>
          </w:tcPr>
          <w:p w14:paraId="1BE5DEE3" w14:textId="30CC2622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Pr="00FD71BF">
              <w:rPr>
                <w:rFonts w:cstheme="minorHAnsi"/>
                <w:sz w:val="16"/>
                <w:szCs w:val="16"/>
              </w:rPr>
              <w:t>nalyzed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existing Digital Reuse Market Solutions (DRMS) in the European construction sector</w:t>
            </w:r>
          </w:p>
        </w:tc>
        <w:tc>
          <w:tcPr>
            <w:tcW w:w="2700" w:type="dxa"/>
          </w:tcPr>
          <w:p w14:paraId="5CA45CAA" w14:textId="78E61D03" w:rsidR="003202F1" w:rsidRPr="00FD71BF" w:rsidRDefault="005A2BD5" w:rsidP="00E703B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</w:t>
            </w:r>
            <w:r w:rsidR="003202F1" w:rsidRPr="00FD71BF">
              <w:rPr>
                <w:rFonts w:cstheme="minorHAnsi"/>
                <w:sz w:val="16"/>
                <w:szCs w:val="16"/>
              </w:rPr>
              <w:t>euse market solutions that are offlin</w:t>
            </w:r>
            <w:r w:rsidR="00E703BE">
              <w:rPr>
                <w:rFonts w:cstheme="minorHAnsi"/>
                <w:sz w:val="16"/>
                <w:szCs w:val="16"/>
              </w:rPr>
              <w:t xml:space="preserve">e or only superficially online; </w:t>
            </w:r>
            <w:r w:rsidR="003202F1" w:rsidRPr="00FD71BF">
              <w:rPr>
                <w:rFonts w:cstheme="minorHAnsi"/>
                <w:sz w:val="16"/>
                <w:szCs w:val="16"/>
              </w:rPr>
              <w:t>issues when transferring from offline to online distribution of reused building components and related services.</w:t>
            </w:r>
          </w:p>
        </w:tc>
        <w:tc>
          <w:tcPr>
            <w:tcW w:w="1206" w:type="dxa"/>
          </w:tcPr>
          <w:p w14:paraId="2883DA6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3B52EBDD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05905DD" w14:textId="6932654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1580" w:type="dxa"/>
          </w:tcPr>
          <w:p w14:paraId="4242AA2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Andersen, S.C et al, 2022 [25].</w:t>
            </w:r>
          </w:p>
        </w:tc>
        <w:tc>
          <w:tcPr>
            <w:tcW w:w="1579" w:type="dxa"/>
          </w:tcPr>
          <w:p w14:paraId="128777B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7208422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Lifecycle analysis</w:t>
            </w:r>
          </w:p>
        </w:tc>
        <w:tc>
          <w:tcPr>
            <w:tcW w:w="1481" w:type="dxa"/>
          </w:tcPr>
          <w:p w14:paraId="41DEC5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Denmark</w:t>
            </w:r>
          </w:p>
        </w:tc>
        <w:tc>
          <w:tcPr>
            <w:tcW w:w="1509" w:type="dxa"/>
          </w:tcPr>
          <w:p w14:paraId="1A4AEE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47AC9724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Applying LCA of CE in the BE, </w:t>
            </w:r>
          </w:p>
        </w:tc>
        <w:tc>
          <w:tcPr>
            <w:tcW w:w="2700" w:type="dxa"/>
          </w:tcPr>
          <w:p w14:paraId="432F167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LCA in all stages of the building life cycle.</w:t>
            </w:r>
          </w:p>
        </w:tc>
        <w:tc>
          <w:tcPr>
            <w:tcW w:w="1206" w:type="dxa"/>
          </w:tcPr>
          <w:p w14:paraId="007DE3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  <w:p w14:paraId="78A05E6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4A5A7063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72F5D1E" w14:textId="19F2F0C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1580" w:type="dxa"/>
          </w:tcPr>
          <w:p w14:paraId="6F142DF3" w14:textId="367E98E1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Tsui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Tanya, 2022 [6</w:t>
            </w:r>
            <w:r w:rsidR="008853A1" w:rsidRPr="00FD71BF">
              <w:rPr>
                <w:rFonts w:cstheme="minorHAnsi"/>
                <w:sz w:val="16"/>
                <w:szCs w:val="16"/>
              </w:rPr>
              <w:t>6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7433AC6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7D69BF4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land mass coordination</w:t>
            </w:r>
          </w:p>
        </w:tc>
        <w:tc>
          <w:tcPr>
            <w:tcW w:w="1481" w:type="dxa"/>
          </w:tcPr>
          <w:p w14:paraId="5CDB511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Netherlands </w:t>
            </w:r>
          </w:p>
        </w:tc>
        <w:tc>
          <w:tcPr>
            <w:tcW w:w="1509" w:type="dxa"/>
          </w:tcPr>
          <w:p w14:paraId="64C1F06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Land economy</w:t>
            </w:r>
          </w:p>
          <w:p w14:paraId="7F2FDF6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Geomatics</w:t>
            </w:r>
            <w:proofErr w:type="spellEnd"/>
          </w:p>
        </w:tc>
        <w:tc>
          <w:tcPr>
            <w:tcW w:w="2664" w:type="dxa"/>
          </w:tcPr>
          <w:p w14:paraId="63F84A3C" w14:textId="5595D400" w:rsidR="003202F1" w:rsidRPr="00FD71BF" w:rsidRDefault="003202F1" w:rsidP="005A2BD5">
            <w:pPr>
              <w:pStyle w:val="MDPI42tablebody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Municipal-led circular land mass coordination</w:t>
            </w:r>
            <w:r w:rsidR="005A2BD5">
              <w:rPr>
                <w:rFonts w:cstheme="minorHAnsi"/>
                <w:sz w:val="16"/>
                <w:szCs w:val="16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</w:rPr>
              <w:t>between all construction sites</w:t>
            </w:r>
          </w:p>
        </w:tc>
        <w:tc>
          <w:tcPr>
            <w:tcW w:w="2700" w:type="dxa"/>
          </w:tcPr>
          <w:p w14:paraId="4744D97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Deriving a spatial algorithm in allocating lands for waste disposal </w:t>
            </w:r>
          </w:p>
        </w:tc>
        <w:tc>
          <w:tcPr>
            <w:tcW w:w="1206" w:type="dxa"/>
          </w:tcPr>
          <w:p w14:paraId="37581CE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7A158911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A9659F7" w14:textId="180BE6E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54</w:t>
            </w:r>
          </w:p>
        </w:tc>
        <w:tc>
          <w:tcPr>
            <w:tcW w:w="1580" w:type="dxa"/>
          </w:tcPr>
          <w:p w14:paraId="4505FD98" w14:textId="0A7C1819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Naveed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W et al, 2022 [11</w:t>
            </w:r>
            <w:r w:rsidR="008853A1" w:rsidRPr="00FD71BF">
              <w:rPr>
                <w:rFonts w:cstheme="minorHAnsi"/>
                <w:sz w:val="16"/>
                <w:szCs w:val="16"/>
              </w:rPr>
              <w:t>9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11DE982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 paper</w:t>
            </w:r>
          </w:p>
        </w:tc>
        <w:tc>
          <w:tcPr>
            <w:tcW w:w="1579" w:type="dxa"/>
          </w:tcPr>
          <w:p w14:paraId="237F9A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Ranking success factors</w:t>
            </w:r>
          </w:p>
        </w:tc>
        <w:tc>
          <w:tcPr>
            <w:tcW w:w="1481" w:type="dxa"/>
          </w:tcPr>
          <w:p w14:paraId="7162C9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Netherlands</w:t>
            </w:r>
          </w:p>
        </w:tc>
        <w:tc>
          <w:tcPr>
            <w:tcW w:w="1509" w:type="dxa"/>
          </w:tcPr>
          <w:p w14:paraId="75C98C0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ICT</w:t>
            </w:r>
          </w:p>
        </w:tc>
        <w:tc>
          <w:tcPr>
            <w:tcW w:w="2664" w:type="dxa"/>
          </w:tcPr>
          <w:p w14:paraId="500D3750" w14:textId="53CACC0D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ole of information technologies in CE in their implementation </w:t>
            </w:r>
          </w:p>
        </w:tc>
        <w:tc>
          <w:tcPr>
            <w:tcW w:w="2700" w:type="dxa"/>
          </w:tcPr>
          <w:p w14:paraId="260FEB6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Developing Economic Policies/Agendas in Support of CE Activities</w:t>
            </w:r>
          </w:p>
        </w:tc>
        <w:tc>
          <w:tcPr>
            <w:tcW w:w="1206" w:type="dxa"/>
          </w:tcPr>
          <w:p w14:paraId="4BC5B09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2BE12986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738520E" w14:textId="1BA6C36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1580" w:type="dxa"/>
          </w:tcPr>
          <w:p w14:paraId="36B0A6BF" w14:textId="35BE8C71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Lestari, E.R., 2022 [43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31F9C8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67C6C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Carbon </w:t>
            </w:r>
          </w:p>
        </w:tc>
        <w:tc>
          <w:tcPr>
            <w:tcW w:w="1481" w:type="dxa"/>
          </w:tcPr>
          <w:p w14:paraId="7E54583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Indonesia</w:t>
            </w:r>
          </w:p>
        </w:tc>
        <w:tc>
          <w:tcPr>
            <w:tcW w:w="1509" w:type="dxa"/>
          </w:tcPr>
          <w:p w14:paraId="04C8E1F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Taxation </w:t>
            </w:r>
          </w:p>
        </w:tc>
        <w:tc>
          <w:tcPr>
            <w:tcW w:w="2664" w:type="dxa"/>
          </w:tcPr>
          <w:p w14:paraId="29918C2F" w14:textId="2602F826" w:rsidR="003202F1" w:rsidRPr="00FD71BF" w:rsidRDefault="003202F1" w:rsidP="005A2BD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 current situation of tax policy is described in this study while analyzing the inhibiting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factors and weaknesses of tax policy instruments and proposing a design for tax policy reconstructions </w:t>
            </w:r>
          </w:p>
        </w:tc>
        <w:tc>
          <w:tcPr>
            <w:tcW w:w="2700" w:type="dxa"/>
          </w:tcPr>
          <w:p w14:paraId="4FBBBD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More detailed examination is required for tax policies proposed on the basis of the results of this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study.</w:t>
            </w:r>
          </w:p>
        </w:tc>
        <w:tc>
          <w:tcPr>
            <w:tcW w:w="1206" w:type="dxa"/>
          </w:tcPr>
          <w:p w14:paraId="7063487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Policy </w:t>
            </w:r>
          </w:p>
        </w:tc>
      </w:tr>
      <w:tr w:rsidR="003202F1" w:rsidRPr="00FD71BF" w14:paraId="286969CF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802B70B" w14:textId="67A30DD3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>56</w:t>
            </w:r>
          </w:p>
        </w:tc>
        <w:tc>
          <w:tcPr>
            <w:tcW w:w="1580" w:type="dxa"/>
          </w:tcPr>
          <w:p w14:paraId="1B351822" w14:textId="4E3DB63C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Jarosław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Górecki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et al, 2022[123</w:t>
            </w:r>
            <w:r w:rsidR="003202F1" w:rsidRPr="00FD71BF">
              <w:rPr>
                <w:rFonts w:cstheme="minorHAnsi"/>
                <w:sz w:val="16"/>
                <w:szCs w:val="16"/>
                <w:lang w:val="en-GB"/>
              </w:rPr>
              <w:t>].</w:t>
            </w:r>
          </w:p>
        </w:tc>
        <w:tc>
          <w:tcPr>
            <w:tcW w:w="1579" w:type="dxa"/>
          </w:tcPr>
          <w:p w14:paraId="5EEBA2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10D8F7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Leadership style </w:t>
            </w:r>
          </w:p>
        </w:tc>
        <w:tc>
          <w:tcPr>
            <w:tcW w:w="1481" w:type="dxa"/>
          </w:tcPr>
          <w:p w14:paraId="6EAAA4D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Poland</w:t>
            </w:r>
          </w:p>
        </w:tc>
        <w:tc>
          <w:tcPr>
            <w:tcW w:w="1509" w:type="dxa"/>
          </w:tcPr>
          <w:p w14:paraId="2382C3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Management </w:t>
            </w:r>
          </w:p>
        </w:tc>
        <w:tc>
          <w:tcPr>
            <w:tcW w:w="2664" w:type="dxa"/>
          </w:tcPr>
          <w:p w14:paraId="6A833447" w14:textId="5E33F215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 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path to CE maturity has been shown as a continual pursuit in 3 </w:t>
            </w:r>
            <w:r w:rsidRPr="00FD71BF">
              <w:rPr>
                <w:rFonts w:cstheme="minorHAnsi"/>
                <w:sz w:val="16"/>
                <w:szCs w:val="16"/>
              </w:rPr>
              <w:t>steps</w:t>
            </w:r>
            <w:r w:rsidR="003202F1" w:rsidRPr="00FD71BF">
              <w:rPr>
                <w:rFonts w:cstheme="minorHAnsi"/>
                <w:sz w:val="16"/>
                <w:szCs w:val="16"/>
              </w:rPr>
              <w:t>;</w:t>
            </w:r>
            <w:r w:rsidR="003202F1" w:rsidRPr="00FD71BF">
              <w:rPr>
                <w:rFonts w:eastAsia="SimSun" w:cstheme="minorHAnsi"/>
                <w:noProof/>
                <w:snapToGrid/>
                <w:sz w:val="16"/>
                <w:szCs w:val="16"/>
                <w:lang w:eastAsia="zh-CN" w:bidi="ar-SA"/>
              </w:rPr>
              <w:t xml:space="preserve"> 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disharmony, euphoria, and harmony, </w:t>
            </w:r>
          </w:p>
        </w:tc>
        <w:tc>
          <w:tcPr>
            <w:tcW w:w="2700" w:type="dxa"/>
          </w:tcPr>
          <w:p w14:paraId="46796959" w14:textId="2F8EA302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ecessary to search for determinants of the increase in the resource (materials, energy, water 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etc</w:t>
            </w:r>
            <w:proofErr w:type="spellEnd"/>
            <w:r w:rsidR="003202F1" w:rsidRPr="00FD71BF">
              <w:rPr>
                <w:rFonts w:eastAsia="SimSun" w:cstheme="minorHAnsi"/>
                <w:noProof/>
                <w:snapToGrid/>
                <w:sz w:val="16"/>
                <w:szCs w:val="16"/>
                <w:lang w:eastAsia="zh-CN" w:bidi="ar-SA"/>
              </w:rPr>
              <w:t xml:space="preserve"> </w:t>
            </w:r>
            <w:r w:rsidR="003202F1" w:rsidRPr="00FD71BF">
              <w:rPr>
                <w:rFonts w:cstheme="minorHAnsi"/>
                <w:sz w:val="16"/>
                <w:szCs w:val="16"/>
              </w:rPr>
              <w:t>from the perspective of their effectiveness in a global sense</w:t>
            </w:r>
          </w:p>
        </w:tc>
        <w:tc>
          <w:tcPr>
            <w:tcW w:w="1206" w:type="dxa"/>
          </w:tcPr>
          <w:p w14:paraId="3ACB683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39FC639A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F0CF8A6" w14:textId="75563576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57</w:t>
            </w:r>
          </w:p>
        </w:tc>
        <w:tc>
          <w:tcPr>
            <w:tcW w:w="1580" w:type="dxa"/>
          </w:tcPr>
          <w:p w14:paraId="5FABD8F6" w14:textId="785A39AD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Kalkanis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K et al, 2022[10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5EAF3B7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038A40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Reuse </w:t>
            </w:r>
          </w:p>
        </w:tc>
        <w:tc>
          <w:tcPr>
            <w:tcW w:w="1481" w:type="dxa"/>
          </w:tcPr>
          <w:p w14:paraId="69E194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Greece</w:t>
            </w:r>
          </w:p>
        </w:tc>
        <w:tc>
          <w:tcPr>
            <w:tcW w:w="1509" w:type="dxa"/>
          </w:tcPr>
          <w:p w14:paraId="0E0CF0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Public waste management </w:t>
            </w:r>
          </w:p>
        </w:tc>
        <w:tc>
          <w:tcPr>
            <w:tcW w:w="2664" w:type="dxa"/>
          </w:tcPr>
          <w:p w14:paraId="2182247C" w14:textId="02359700" w:rsidR="003202F1" w:rsidRPr="00FD71BF" w:rsidRDefault="003202F1" w:rsidP="00BB1C60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Optimal waste transformation to wealth</w:t>
            </w:r>
            <w:r w:rsidR="00BB1C60" w:rsidRPr="00FD71BF">
              <w:rPr>
                <w:rFonts w:cstheme="minorHAnsi"/>
                <w:sz w:val="16"/>
                <w:szCs w:val="16"/>
              </w:rPr>
              <w:t xml:space="preserve"> resources</w:t>
            </w:r>
            <w:r w:rsidRPr="00FD71BF">
              <w:rPr>
                <w:rFonts w:cstheme="minorHAnsi"/>
                <w:sz w:val="16"/>
                <w:szCs w:val="16"/>
              </w:rPr>
              <w:t xml:space="preserve">. </w:t>
            </w:r>
          </w:p>
        </w:tc>
        <w:tc>
          <w:tcPr>
            <w:tcW w:w="2700" w:type="dxa"/>
          </w:tcPr>
          <w:p w14:paraId="18BE71BB" w14:textId="20EE82DF" w:rsidR="003202F1" w:rsidRPr="00FD71BF" w:rsidRDefault="005A2BD5" w:rsidP="005A2BD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</w:t>
            </w:r>
            <w:r w:rsidR="003202F1" w:rsidRPr="00FD71BF">
              <w:rPr>
                <w:rFonts w:cstheme="minorHAnsi"/>
                <w:sz w:val="16"/>
                <w:szCs w:val="16"/>
              </w:rPr>
              <w:t>ransforming waste into new materials</w:t>
            </w:r>
          </w:p>
        </w:tc>
        <w:tc>
          <w:tcPr>
            <w:tcW w:w="1206" w:type="dxa"/>
          </w:tcPr>
          <w:p w14:paraId="5D1DCDC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  <w:p w14:paraId="5B6B2F2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6E0D52DF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285D786" w14:textId="074DD99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58</w:t>
            </w:r>
          </w:p>
        </w:tc>
        <w:tc>
          <w:tcPr>
            <w:tcW w:w="1580" w:type="dxa"/>
          </w:tcPr>
          <w:p w14:paraId="03A9FB9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Pravin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K et al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>,2023</w:t>
            </w:r>
            <w:proofErr w:type="gramEnd"/>
            <w:r w:rsidRPr="00FD71BF">
              <w:rPr>
                <w:rFonts w:cstheme="minorHAnsi"/>
                <w:sz w:val="16"/>
                <w:szCs w:val="16"/>
              </w:rPr>
              <w:t xml:space="preserve"> [30].</w:t>
            </w:r>
          </w:p>
        </w:tc>
        <w:tc>
          <w:tcPr>
            <w:tcW w:w="1579" w:type="dxa"/>
          </w:tcPr>
          <w:p w14:paraId="2B255D0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36F47A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Supply chain </w:t>
            </w:r>
          </w:p>
        </w:tc>
        <w:tc>
          <w:tcPr>
            <w:tcW w:w="1481" w:type="dxa"/>
          </w:tcPr>
          <w:p w14:paraId="6F1C0D7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Denmark</w:t>
            </w:r>
          </w:p>
        </w:tc>
        <w:tc>
          <w:tcPr>
            <w:tcW w:w="1509" w:type="dxa"/>
          </w:tcPr>
          <w:p w14:paraId="223E1CA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Logistics</w:t>
            </w:r>
          </w:p>
        </w:tc>
        <w:tc>
          <w:tcPr>
            <w:tcW w:w="2664" w:type="dxa"/>
          </w:tcPr>
          <w:p w14:paraId="43DDD49C" w14:textId="5CEE834F" w:rsidR="003202F1" w:rsidRPr="00FD71BF" w:rsidRDefault="003202F1" w:rsidP="00BB1C60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conceptual framework is presented covering the key activities, drivers and barriers, </w:t>
            </w:r>
          </w:p>
        </w:tc>
        <w:tc>
          <w:tcPr>
            <w:tcW w:w="2700" w:type="dxa"/>
          </w:tcPr>
          <w:p w14:paraId="3032496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Reverse Logistics enhancing circularity in construction at firm and site level</w:t>
            </w:r>
          </w:p>
        </w:tc>
        <w:tc>
          <w:tcPr>
            <w:tcW w:w="1206" w:type="dxa"/>
          </w:tcPr>
          <w:p w14:paraId="1435C68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4E32F536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0313990" w14:textId="50A15B15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59</w:t>
            </w:r>
          </w:p>
        </w:tc>
        <w:tc>
          <w:tcPr>
            <w:tcW w:w="1580" w:type="dxa"/>
          </w:tcPr>
          <w:p w14:paraId="4B7A093A" w14:textId="0942CCC9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Santiago Muñoz, M, et al, 2023[</w:t>
            </w:r>
            <w:r w:rsidR="008853A1" w:rsidRPr="00FD71BF">
              <w:rPr>
                <w:rFonts w:cstheme="minorHAnsi"/>
                <w:sz w:val="16"/>
                <w:szCs w:val="16"/>
              </w:rPr>
              <w:t>100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23C0CD9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369BD3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Environmental</w:t>
            </w:r>
          </w:p>
          <w:p w14:paraId="1306FD3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Product</w:t>
            </w:r>
          </w:p>
          <w:p w14:paraId="0E2C9CD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Declarations</w:t>
            </w:r>
          </w:p>
        </w:tc>
        <w:tc>
          <w:tcPr>
            <w:tcW w:w="1481" w:type="dxa"/>
          </w:tcPr>
          <w:p w14:paraId="608AB67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Australia</w:t>
            </w:r>
          </w:p>
        </w:tc>
        <w:tc>
          <w:tcPr>
            <w:tcW w:w="1509" w:type="dxa"/>
          </w:tcPr>
          <w:p w14:paraId="4487719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1B1E6137" w14:textId="14C684E4" w:rsidR="003202F1" w:rsidRPr="00FD71BF" w:rsidRDefault="003202F1" w:rsidP="00BB1C60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 compendium of 249 indicators </w:t>
            </w:r>
            <w:r w:rsidR="00BB1C60" w:rsidRPr="00FD71BF">
              <w:rPr>
                <w:rFonts w:cstheme="minorHAnsi"/>
                <w:sz w:val="16"/>
                <w:szCs w:val="16"/>
              </w:rPr>
              <w:t xml:space="preserve">to prioritize environmental impacts tied to circular </w:t>
            </w:r>
            <w:r w:rsidRPr="00FD71BF">
              <w:rPr>
                <w:rFonts w:cstheme="minorHAnsi"/>
                <w:sz w:val="16"/>
                <w:szCs w:val="16"/>
              </w:rPr>
              <w:t>strategies.</w:t>
            </w:r>
          </w:p>
        </w:tc>
        <w:tc>
          <w:tcPr>
            <w:tcW w:w="2700" w:type="dxa"/>
          </w:tcPr>
          <w:p w14:paraId="778431E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Environmental assessment indicators, indexing and monitoring mechanisms</w:t>
            </w:r>
          </w:p>
        </w:tc>
        <w:tc>
          <w:tcPr>
            <w:tcW w:w="1206" w:type="dxa"/>
          </w:tcPr>
          <w:p w14:paraId="257B4A3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  <w:p w14:paraId="05DB6EB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2F3FEBB8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3F60232" w14:textId="49D6DD1B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1580" w:type="dxa"/>
          </w:tcPr>
          <w:p w14:paraId="5FBEE904" w14:textId="50D161EF" w:rsidR="003202F1" w:rsidRPr="00FD71BF" w:rsidRDefault="008853A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Amilton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Bet al, 2023[40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39FE28C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666F2A7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Social urban mining</w:t>
            </w:r>
          </w:p>
        </w:tc>
        <w:tc>
          <w:tcPr>
            <w:tcW w:w="1481" w:type="dxa"/>
          </w:tcPr>
          <w:p w14:paraId="51BCFEB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Brazil</w:t>
            </w:r>
          </w:p>
        </w:tc>
        <w:tc>
          <w:tcPr>
            <w:tcW w:w="1509" w:type="dxa"/>
          </w:tcPr>
          <w:p w14:paraId="5A8439A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Extractive industries </w:t>
            </w:r>
          </w:p>
        </w:tc>
        <w:tc>
          <w:tcPr>
            <w:tcW w:w="2664" w:type="dxa"/>
          </w:tcPr>
          <w:p w14:paraId="1DA5661C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Analysis of 17 SDGs and their 169 targets within the context of urban mining </w:t>
            </w:r>
          </w:p>
        </w:tc>
        <w:tc>
          <w:tcPr>
            <w:tcW w:w="2700" w:type="dxa"/>
          </w:tcPr>
          <w:p w14:paraId="6D4B05DA" w14:textId="2BF4FBC8" w:rsidR="003202F1" w:rsidRPr="00FD71BF" w:rsidRDefault="003202F1" w:rsidP="005A2BD5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Social engagement in recycling and reusing processes, as well as the need for an interdisciplinary approach to reach the SDGs' targets for </w:t>
            </w:r>
            <w:r w:rsidR="005A2BD5">
              <w:rPr>
                <w:rFonts w:cstheme="minorHAnsi"/>
                <w:sz w:val="16"/>
                <w:szCs w:val="16"/>
              </w:rPr>
              <w:t>cleaner cities</w:t>
            </w:r>
          </w:p>
        </w:tc>
        <w:tc>
          <w:tcPr>
            <w:tcW w:w="1206" w:type="dxa"/>
          </w:tcPr>
          <w:p w14:paraId="722C798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3FE9612A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242AF0F" w14:textId="7C12D4EA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1580" w:type="dxa"/>
          </w:tcPr>
          <w:p w14:paraId="1342BBA7" w14:textId="2098CDD3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Susana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Garrido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et al, 2023[10</w:t>
            </w:r>
            <w:r w:rsidR="008853A1" w:rsidRPr="00FD71BF">
              <w:rPr>
                <w:rFonts w:cstheme="minorHAnsi"/>
                <w:sz w:val="16"/>
                <w:szCs w:val="16"/>
              </w:rPr>
              <w:t>1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225AA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79F9408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circularity index</w:t>
            </w:r>
          </w:p>
        </w:tc>
        <w:tc>
          <w:tcPr>
            <w:tcW w:w="1481" w:type="dxa"/>
          </w:tcPr>
          <w:p w14:paraId="6A2EA29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Portugal</w:t>
            </w:r>
          </w:p>
        </w:tc>
        <w:tc>
          <w:tcPr>
            <w:tcW w:w="1509" w:type="dxa"/>
          </w:tcPr>
          <w:p w14:paraId="1A214A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Environmental management </w:t>
            </w:r>
          </w:p>
        </w:tc>
        <w:tc>
          <w:tcPr>
            <w:tcW w:w="2664" w:type="dxa"/>
          </w:tcPr>
          <w:p w14:paraId="0A3DD9A2" w14:textId="78A7EC25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new composite circularity index (CI) is proposed to combine multiple indicators of CE practices in a given sector, using a novel ‘Benefit of the Doubt’ (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BoD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>) model</w:t>
            </w:r>
          </w:p>
        </w:tc>
        <w:tc>
          <w:tcPr>
            <w:tcW w:w="2700" w:type="dxa"/>
          </w:tcPr>
          <w:p w14:paraId="01D2D79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Application of circularity index for monitoring circularity performance</w:t>
            </w:r>
          </w:p>
        </w:tc>
        <w:tc>
          <w:tcPr>
            <w:tcW w:w="1206" w:type="dxa"/>
          </w:tcPr>
          <w:p w14:paraId="10A4CCF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  <w:p w14:paraId="1D57D9C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  <w:p w14:paraId="4E4B758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7168BD68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74151E9" w14:textId="797F0E1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1580" w:type="dxa"/>
          </w:tcPr>
          <w:p w14:paraId="1FF046B1" w14:textId="6A24F196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Czarnecki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S.; Rudner, M. et al, 2023[8</w:t>
            </w:r>
            <w:r w:rsidR="008853A1" w:rsidRPr="00FD71BF">
              <w:rPr>
                <w:rFonts w:cstheme="minorHAnsi"/>
                <w:sz w:val="16"/>
                <w:szCs w:val="16"/>
              </w:rPr>
              <w:t>3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5FD4AF4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7D54C20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Reuse </w:t>
            </w:r>
          </w:p>
        </w:tc>
        <w:tc>
          <w:tcPr>
            <w:tcW w:w="1481" w:type="dxa"/>
          </w:tcPr>
          <w:p w14:paraId="37A4903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Poland </w:t>
            </w:r>
          </w:p>
        </w:tc>
        <w:tc>
          <w:tcPr>
            <w:tcW w:w="1509" w:type="dxa"/>
          </w:tcPr>
          <w:p w14:paraId="3F3C4ED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Architecture </w:t>
            </w:r>
          </w:p>
        </w:tc>
        <w:tc>
          <w:tcPr>
            <w:tcW w:w="2664" w:type="dxa"/>
          </w:tcPr>
          <w:p w14:paraId="07A959F0" w14:textId="534F1FEF" w:rsidR="003202F1" w:rsidRPr="00FD71BF" w:rsidRDefault="00BB1C60" w:rsidP="00BB1C60">
            <w:pPr>
              <w:pStyle w:val="MDPI42tablebody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Researched on </w:t>
            </w:r>
            <w:r w:rsidR="003202F1" w:rsidRPr="00FD71BF">
              <w:rPr>
                <w:rFonts w:cstheme="minorHAnsi"/>
                <w:sz w:val="16"/>
                <w:szCs w:val="16"/>
              </w:rPr>
              <w:t>reclaimed materials and components in new constructions or renovations (doors, technical ceilings, bricks, floor boards)</w:t>
            </w:r>
          </w:p>
        </w:tc>
        <w:tc>
          <w:tcPr>
            <w:tcW w:w="2700" w:type="dxa"/>
          </w:tcPr>
          <w:p w14:paraId="06EBF8C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Objective design, building adaptive reuse and research on transaction costing </w:t>
            </w:r>
          </w:p>
        </w:tc>
        <w:tc>
          <w:tcPr>
            <w:tcW w:w="1206" w:type="dxa"/>
          </w:tcPr>
          <w:p w14:paraId="25B37A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Empirical </w:t>
            </w:r>
          </w:p>
        </w:tc>
      </w:tr>
      <w:tr w:rsidR="003202F1" w:rsidRPr="00FD71BF" w14:paraId="2183F79B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A373744" w14:textId="1A4C7694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1580" w:type="dxa"/>
          </w:tcPr>
          <w:p w14:paraId="1350088B" w14:textId="25FB5603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Emanuela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Vanacore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et al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>, ,2023</w:t>
            </w:r>
            <w:proofErr w:type="gramEnd"/>
            <w:r w:rsidRPr="00FD71BF">
              <w:rPr>
                <w:rFonts w:cstheme="minorHAnsi"/>
                <w:sz w:val="16"/>
                <w:szCs w:val="16"/>
              </w:rPr>
              <w:t xml:space="preserve"> [10</w:t>
            </w:r>
            <w:r w:rsidR="008853A1" w:rsidRPr="00FD71BF">
              <w:rPr>
                <w:rFonts w:cstheme="minorHAnsi"/>
                <w:sz w:val="16"/>
                <w:szCs w:val="16"/>
              </w:rPr>
              <w:t>2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064720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287611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Intermediation </w:t>
            </w:r>
          </w:p>
        </w:tc>
        <w:tc>
          <w:tcPr>
            <w:tcW w:w="1481" w:type="dxa"/>
          </w:tcPr>
          <w:p w14:paraId="548F776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Sweden </w:t>
            </w:r>
          </w:p>
        </w:tc>
        <w:tc>
          <w:tcPr>
            <w:tcW w:w="1509" w:type="dxa"/>
          </w:tcPr>
          <w:p w14:paraId="1EE577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Public procurement </w:t>
            </w:r>
          </w:p>
        </w:tc>
        <w:tc>
          <w:tcPr>
            <w:tcW w:w="2664" w:type="dxa"/>
          </w:tcPr>
          <w:p w14:paraId="641F861D" w14:textId="78F4A991" w:rsidR="003202F1" w:rsidRPr="00FD71BF" w:rsidRDefault="005A2BD5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>dopting innovative public procurement processes</w:t>
            </w:r>
          </w:p>
        </w:tc>
        <w:tc>
          <w:tcPr>
            <w:tcW w:w="2700" w:type="dxa"/>
          </w:tcPr>
          <w:p w14:paraId="2868F40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Models of public engagement in procurement decision-making process</w:t>
            </w:r>
          </w:p>
        </w:tc>
        <w:tc>
          <w:tcPr>
            <w:tcW w:w="1206" w:type="dxa"/>
          </w:tcPr>
          <w:p w14:paraId="5D65B2A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174AB940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EBEB299" w14:textId="026DC6B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1580" w:type="dxa"/>
          </w:tcPr>
          <w:p w14:paraId="54D687C0" w14:textId="1785C2DC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Akomea-Frimpong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et al, 2023[41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4522A75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Review</w:t>
            </w:r>
          </w:p>
        </w:tc>
        <w:tc>
          <w:tcPr>
            <w:tcW w:w="1579" w:type="dxa"/>
          </w:tcPr>
          <w:p w14:paraId="5D7B9A1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Circular economy models  </w:t>
            </w:r>
          </w:p>
        </w:tc>
        <w:tc>
          <w:tcPr>
            <w:tcW w:w="1481" w:type="dxa"/>
          </w:tcPr>
          <w:p w14:paraId="69D32F2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Australia</w:t>
            </w:r>
          </w:p>
        </w:tc>
        <w:tc>
          <w:tcPr>
            <w:tcW w:w="1509" w:type="dxa"/>
          </w:tcPr>
          <w:p w14:paraId="65C40F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Portfolio management   </w:t>
            </w:r>
          </w:p>
        </w:tc>
        <w:tc>
          <w:tcPr>
            <w:tcW w:w="2664" w:type="dxa"/>
          </w:tcPr>
          <w:p w14:paraId="2DA0281C" w14:textId="08D390A2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Identifed</w:t>
            </w:r>
            <w:r>
              <w:rPr>
                <w:rFonts w:cstheme="minorHAnsi"/>
                <w:sz w:val="16"/>
                <w:szCs w:val="16"/>
              </w:rPr>
              <w:t> </w:t>
            </w:r>
            <w:r w:rsidR="003202F1" w:rsidRPr="00FD71BF">
              <w:rPr>
                <w:rFonts w:cstheme="minorHAnsi"/>
                <w:sz w:val="16"/>
                <w:szCs w:val="16"/>
              </w:rPr>
              <w:t>models and key successfactors associated with CE implementation in PPP infrastructure projects.</w:t>
            </w:r>
          </w:p>
        </w:tc>
        <w:tc>
          <w:tcPr>
            <w:tcW w:w="2700" w:type="dxa"/>
          </w:tcPr>
          <w:p w14:paraId="742F89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Portfolio management of circular projects in the public sector and private-public partnership </w:t>
            </w:r>
          </w:p>
        </w:tc>
        <w:tc>
          <w:tcPr>
            <w:tcW w:w="1206" w:type="dxa"/>
          </w:tcPr>
          <w:p w14:paraId="5EC71A5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2A16A8C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8B19BD3" w14:textId="486DF243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1580" w:type="dxa"/>
          </w:tcPr>
          <w:p w14:paraId="40B3C3BF" w14:textId="39ECB95D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Brandon S. 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 xml:space="preserve">Byers1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,</w:t>
            </w:r>
            <w:proofErr w:type="gramEnd"/>
            <w:r w:rsidRPr="00FD71BF">
              <w:rPr>
                <w:rFonts w:cstheme="minorHAnsi"/>
                <w:sz w:val="16"/>
                <w:szCs w:val="16"/>
              </w:rPr>
              <w:t xml:space="preserve"> Catherine De Wolf , 2023[10</w:t>
            </w:r>
            <w:r w:rsidR="008853A1" w:rsidRPr="00FD71BF">
              <w:rPr>
                <w:rFonts w:cstheme="minorHAnsi"/>
                <w:sz w:val="16"/>
                <w:szCs w:val="16"/>
              </w:rPr>
              <w:t>3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4B6944E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Research </w:t>
            </w:r>
          </w:p>
        </w:tc>
        <w:tc>
          <w:tcPr>
            <w:tcW w:w="1579" w:type="dxa"/>
          </w:tcPr>
          <w:p w14:paraId="2085864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Material passport </w:t>
            </w:r>
          </w:p>
        </w:tc>
        <w:tc>
          <w:tcPr>
            <w:tcW w:w="1481" w:type="dxa"/>
          </w:tcPr>
          <w:p w14:paraId="3D7CE6E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Switzerland </w:t>
            </w:r>
          </w:p>
        </w:tc>
        <w:tc>
          <w:tcPr>
            <w:tcW w:w="1509" w:type="dxa"/>
          </w:tcPr>
          <w:p w14:paraId="7BB3CE1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Building law</w:t>
            </w:r>
          </w:p>
        </w:tc>
        <w:tc>
          <w:tcPr>
            <w:tcW w:w="2664" w:type="dxa"/>
          </w:tcPr>
          <w:p w14:paraId="3BF71B55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Development of QR Code-Based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Material Passports</w:t>
            </w:r>
          </w:p>
        </w:tc>
        <w:tc>
          <w:tcPr>
            <w:tcW w:w="2700" w:type="dxa"/>
          </w:tcPr>
          <w:p w14:paraId="11E05BD5" w14:textId="17E57D16" w:rsidR="003202F1" w:rsidRPr="00FD71BF" w:rsidRDefault="005A2BD5" w:rsidP="005A2BD5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lastRenderedPageBreak/>
              <w:t>U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se of linked building data and </w:t>
            </w:r>
            <w:r w:rsidR="003202F1" w:rsidRPr="00FD71BF">
              <w:rPr>
                <w:rFonts w:cstheme="minorHAnsi"/>
                <w:sz w:val="16"/>
                <w:szCs w:val="16"/>
              </w:rPr>
              <w:lastRenderedPageBreak/>
              <w:t>semantic web technologies to open opportunities for exploring connection types and provide metadata for the components on their life cycles.</w:t>
            </w:r>
          </w:p>
        </w:tc>
        <w:tc>
          <w:tcPr>
            <w:tcW w:w="1206" w:type="dxa"/>
          </w:tcPr>
          <w:p w14:paraId="672FA69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Method </w:t>
            </w:r>
          </w:p>
        </w:tc>
      </w:tr>
      <w:tr w:rsidR="003202F1" w:rsidRPr="00FD71BF" w14:paraId="483019EC" w14:textId="77777777" w:rsidTr="005A2BD5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2559D6E" w14:textId="3CF3D79F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66</w:t>
            </w:r>
          </w:p>
        </w:tc>
        <w:tc>
          <w:tcPr>
            <w:tcW w:w="1580" w:type="dxa"/>
          </w:tcPr>
          <w:p w14:paraId="69855535" w14:textId="32A12EDA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Ljumović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I.,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Hanić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A. (2023).</w:t>
            </w:r>
            <w:r w:rsidRPr="00FD71BF">
              <w:rPr>
                <w:rFonts w:eastAsia="Calibri" w:cstheme="minorHAnsi"/>
                <w:snapToGrid/>
                <w:color w:val="auto"/>
                <w:sz w:val="16"/>
                <w:szCs w:val="16"/>
                <w:lang w:eastAsia="en-US"/>
              </w:rPr>
              <w:t xml:space="preserve"> </w:t>
            </w:r>
            <w:r w:rsidRPr="00FD71BF">
              <w:rPr>
                <w:rFonts w:cstheme="minorHAnsi"/>
                <w:sz w:val="16"/>
                <w:szCs w:val="16"/>
              </w:rPr>
              <w:t>[4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3B22C0B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Book chapter</w:t>
            </w:r>
          </w:p>
        </w:tc>
        <w:tc>
          <w:tcPr>
            <w:tcW w:w="1579" w:type="dxa"/>
          </w:tcPr>
          <w:p w14:paraId="3F4762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Funding </w:t>
            </w:r>
          </w:p>
        </w:tc>
        <w:tc>
          <w:tcPr>
            <w:tcW w:w="1481" w:type="dxa"/>
          </w:tcPr>
          <w:p w14:paraId="30A723A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Serbia</w:t>
            </w:r>
          </w:p>
          <w:p w14:paraId="170F7FD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09" w:type="dxa"/>
          </w:tcPr>
          <w:p w14:paraId="48A7D0C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Project Financing</w:t>
            </w:r>
          </w:p>
        </w:tc>
        <w:tc>
          <w:tcPr>
            <w:tcW w:w="2664" w:type="dxa"/>
          </w:tcPr>
          <w:p w14:paraId="6900C67E" w14:textId="64C3E32F" w:rsidR="003202F1" w:rsidRPr="00FD71BF" w:rsidRDefault="00BB1C60" w:rsidP="00BB1C60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Demystified the role of crowd funding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in financing start-ups orient</w:t>
            </w:r>
            <w:r w:rsidRPr="00FD71BF">
              <w:rPr>
                <w:rFonts w:cstheme="minorHAnsi"/>
                <w:sz w:val="16"/>
                <w:szCs w:val="16"/>
              </w:rPr>
              <w:t xml:space="preserve">ing </w:t>
            </w:r>
            <w:r w:rsidR="003202F1" w:rsidRPr="00FD71BF">
              <w:rPr>
                <w:rFonts w:cstheme="minorHAnsi"/>
                <w:sz w:val="16"/>
                <w:szCs w:val="16"/>
              </w:rPr>
              <w:t>circula</w:t>
            </w:r>
            <w:r w:rsidRPr="00FD71BF">
              <w:rPr>
                <w:rFonts w:cstheme="minorHAnsi"/>
                <w:sz w:val="16"/>
                <w:szCs w:val="16"/>
              </w:rPr>
              <w:t>r projects</w:t>
            </w:r>
          </w:p>
        </w:tc>
        <w:tc>
          <w:tcPr>
            <w:tcW w:w="2700" w:type="dxa"/>
          </w:tcPr>
          <w:p w14:paraId="5DCBC11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Search for direct funding for innovative projects that seek to address specific challenges in circular construction </w:t>
            </w:r>
          </w:p>
        </w:tc>
        <w:tc>
          <w:tcPr>
            <w:tcW w:w="1206" w:type="dxa"/>
          </w:tcPr>
          <w:p w14:paraId="6CBA75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306C0F81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85F4347" w14:textId="71A3D317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1580" w:type="dxa"/>
          </w:tcPr>
          <w:p w14:paraId="79A5051B" w14:textId="74B2BAD2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Timm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J.F.G et al, 2023 [60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4AC1E90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Review</w:t>
            </w:r>
          </w:p>
        </w:tc>
        <w:tc>
          <w:tcPr>
            <w:tcW w:w="1579" w:type="dxa"/>
          </w:tcPr>
          <w:p w14:paraId="0C14792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Eco-design </w:t>
            </w:r>
          </w:p>
        </w:tc>
        <w:tc>
          <w:tcPr>
            <w:tcW w:w="1481" w:type="dxa"/>
          </w:tcPr>
          <w:p w14:paraId="0878599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Brazil</w:t>
            </w:r>
          </w:p>
        </w:tc>
        <w:tc>
          <w:tcPr>
            <w:tcW w:w="1509" w:type="dxa"/>
          </w:tcPr>
          <w:p w14:paraId="0C126E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Built environment </w:t>
            </w:r>
          </w:p>
        </w:tc>
        <w:tc>
          <w:tcPr>
            <w:tcW w:w="2664" w:type="dxa"/>
          </w:tcPr>
          <w:p w14:paraId="3A38DE64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 framework using Plan-Do-Check-Act concept to support trade-offs when selecting strategies and facilitating collaborative decision-making </w:t>
            </w:r>
          </w:p>
        </w:tc>
        <w:tc>
          <w:tcPr>
            <w:tcW w:w="2700" w:type="dxa"/>
          </w:tcPr>
          <w:p w14:paraId="32B86D2F" w14:textId="42661F18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3202F1" w:rsidRPr="00FD71BF">
              <w:rPr>
                <w:rFonts w:cstheme="minorHAnsi"/>
                <w:sz w:val="16"/>
                <w:szCs w:val="16"/>
              </w:rPr>
              <w:t>nvestigate the benefits and challenges linked to each strategy, and how the strategies are correlated in the search for better environmental performance and circularity</w:t>
            </w:r>
          </w:p>
        </w:tc>
        <w:tc>
          <w:tcPr>
            <w:tcW w:w="1206" w:type="dxa"/>
          </w:tcPr>
          <w:p w14:paraId="6841692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226192CB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C9B97E3" w14:textId="34E5FB83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1580" w:type="dxa"/>
          </w:tcPr>
          <w:p w14:paraId="381EB901" w14:textId="6CA961EF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Anastasiades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K et al</w:t>
            </w:r>
            <w:proofErr w:type="gramStart"/>
            <w:r w:rsidRPr="00FD71BF">
              <w:rPr>
                <w:rFonts w:cstheme="minorHAnsi"/>
                <w:sz w:val="16"/>
                <w:szCs w:val="16"/>
              </w:rPr>
              <w:t>,2023</w:t>
            </w:r>
            <w:proofErr w:type="gramEnd"/>
            <w:r w:rsidRPr="00FD71BF">
              <w:rPr>
                <w:rFonts w:cstheme="minorHAnsi"/>
                <w:sz w:val="16"/>
                <w:szCs w:val="16"/>
              </w:rPr>
              <w:t>[10</w:t>
            </w:r>
            <w:r w:rsidR="008853A1" w:rsidRPr="00FD71BF">
              <w:rPr>
                <w:rFonts w:cstheme="minorHAnsi"/>
                <w:sz w:val="16"/>
                <w:szCs w:val="16"/>
              </w:rPr>
              <w:t>7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0DAC378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22DAF9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circularity indicators</w:t>
            </w:r>
          </w:p>
        </w:tc>
        <w:tc>
          <w:tcPr>
            <w:tcW w:w="1481" w:type="dxa"/>
          </w:tcPr>
          <w:p w14:paraId="45A4895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Belgium</w:t>
            </w:r>
          </w:p>
        </w:tc>
        <w:tc>
          <w:tcPr>
            <w:tcW w:w="1509" w:type="dxa"/>
          </w:tcPr>
          <w:p w14:paraId="54349BE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project evaluation  </w:t>
            </w:r>
          </w:p>
        </w:tc>
        <w:tc>
          <w:tcPr>
            <w:tcW w:w="2664" w:type="dxa"/>
          </w:tcPr>
          <w:p w14:paraId="014DBE98" w14:textId="09F9368A" w:rsidR="003202F1" w:rsidRPr="00FD71BF" w:rsidRDefault="005A2BD5" w:rsidP="00BB1C60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comprehensive Circular Construction Indicator framework </w:t>
            </w:r>
          </w:p>
        </w:tc>
        <w:tc>
          <w:tcPr>
            <w:tcW w:w="2700" w:type="dxa"/>
          </w:tcPr>
          <w:p w14:paraId="1E95803F" w14:textId="03F4EF36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Many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partial indicators in the framework can easily be altered or replaced by a new partial indicator with a better approach.</w:t>
            </w:r>
          </w:p>
        </w:tc>
        <w:tc>
          <w:tcPr>
            <w:tcW w:w="1206" w:type="dxa"/>
          </w:tcPr>
          <w:p w14:paraId="6865BF1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Method </w:t>
            </w:r>
          </w:p>
        </w:tc>
      </w:tr>
      <w:tr w:rsidR="003202F1" w:rsidRPr="00FD71BF" w14:paraId="71F616BC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4492A0D" w14:textId="75EEA8A1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1580" w:type="dxa"/>
          </w:tcPr>
          <w:p w14:paraId="55DEDFF5" w14:textId="0FECDE17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Gherman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I.-E et al, 2023[63</w:t>
            </w:r>
            <w:r w:rsidR="003202F1"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2428C6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2E1203F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Demolition Waste Management</w:t>
            </w:r>
          </w:p>
        </w:tc>
        <w:tc>
          <w:tcPr>
            <w:tcW w:w="1481" w:type="dxa"/>
          </w:tcPr>
          <w:p w14:paraId="042E264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Romania</w:t>
            </w:r>
          </w:p>
        </w:tc>
        <w:tc>
          <w:tcPr>
            <w:tcW w:w="1509" w:type="dxa"/>
          </w:tcPr>
          <w:p w14:paraId="797FDAB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management  </w:t>
            </w:r>
          </w:p>
        </w:tc>
        <w:tc>
          <w:tcPr>
            <w:tcW w:w="2664" w:type="dxa"/>
          </w:tcPr>
          <w:p w14:paraId="38F7A083" w14:textId="11316E35" w:rsidR="003202F1" w:rsidRPr="00FD71BF" w:rsidRDefault="00BB1C60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Structuring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the trends of existing knowledge in a holistic view, identifying the research directions, dimensions, specific aspects, and instruments.</w:t>
            </w:r>
          </w:p>
        </w:tc>
        <w:tc>
          <w:tcPr>
            <w:tcW w:w="2700" w:type="dxa"/>
          </w:tcPr>
          <w:p w14:paraId="0ED5943D" w14:textId="1C117F43" w:rsidR="003202F1" w:rsidRPr="00FD71BF" w:rsidRDefault="005A2BD5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An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underdeveloped secondary material market and quality assurance system; and inadequate emphasis on educational mechanisms and tools for enhancing awareness and knowledge of circularity in CDW management</w:t>
            </w:r>
          </w:p>
        </w:tc>
        <w:tc>
          <w:tcPr>
            <w:tcW w:w="1206" w:type="dxa"/>
          </w:tcPr>
          <w:p w14:paraId="32A4A9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575AD6B3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8D32149" w14:textId="5FC812B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1580" w:type="dxa"/>
          </w:tcPr>
          <w:p w14:paraId="26B0B215" w14:textId="57D302C6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Fagone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>, C et al, 2023</w:t>
            </w:r>
            <w:r w:rsidRPr="00FD71BF">
              <w:rPr>
                <w:rFonts w:cstheme="minorHAnsi"/>
                <w:sz w:val="16"/>
                <w:szCs w:val="16"/>
              </w:rPr>
              <w:t>[6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3AC8AD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6D56872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Industrial Framework</w:t>
            </w:r>
          </w:p>
        </w:tc>
        <w:tc>
          <w:tcPr>
            <w:tcW w:w="1481" w:type="dxa"/>
          </w:tcPr>
          <w:p w14:paraId="2B8C06D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Italy</w:t>
            </w:r>
          </w:p>
        </w:tc>
        <w:tc>
          <w:tcPr>
            <w:tcW w:w="1509" w:type="dxa"/>
          </w:tcPr>
          <w:p w14:paraId="35EE280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Construction management</w:t>
            </w:r>
          </w:p>
        </w:tc>
        <w:tc>
          <w:tcPr>
            <w:tcW w:w="2664" w:type="dxa"/>
          </w:tcPr>
          <w:p w14:paraId="0C81DBC0" w14:textId="54FFF577" w:rsidR="003202F1" w:rsidRPr="00FD71BF" w:rsidRDefault="005A2BD5" w:rsidP="005A2BD5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="003202F1" w:rsidRPr="00FD71BF">
              <w:rPr>
                <w:rFonts w:cstheme="minorHAnsi"/>
                <w:sz w:val="16"/>
                <w:szCs w:val="16"/>
              </w:rPr>
              <w:t>reate Circular Construction Sites (CCS) flow using circular concepts and to develop a circular methodology for construction sustainability</w:t>
            </w:r>
          </w:p>
        </w:tc>
        <w:tc>
          <w:tcPr>
            <w:tcW w:w="2700" w:type="dxa"/>
          </w:tcPr>
          <w:p w14:paraId="6CD8145D" w14:textId="1BCC9DF8" w:rsidR="003202F1" w:rsidRPr="00FD71BF" w:rsidRDefault="005A2BD5" w:rsidP="005A2BD5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C</w:t>
            </w:r>
            <w:r w:rsidR="003202F1" w:rsidRPr="00FD71BF">
              <w:rPr>
                <w:rFonts w:cstheme="minorHAnsi"/>
                <w:sz w:val="16"/>
                <w:szCs w:val="16"/>
              </w:rPr>
              <w:t>ircular planning of construction activities to reduce the draw-down from the biosphere</w:t>
            </w:r>
          </w:p>
        </w:tc>
        <w:tc>
          <w:tcPr>
            <w:tcW w:w="1206" w:type="dxa"/>
          </w:tcPr>
          <w:p w14:paraId="389215C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26568B0F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52EB7595" w14:textId="1983A605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1580" w:type="dxa"/>
          </w:tcPr>
          <w:p w14:paraId="2E0AA5D4" w14:textId="07CE5438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Meng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X et al, 2023[9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].</w:t>
            </w:r>
          </w:p>
        </w:tc>
        <w:tc>
          <w:tcPr>
            <w:tcW w:w="1579" w:type="dxa"/>
          </w:tcPr>
          <w:p w14:paraId="6988818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34DE8EE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Digital Twin</w:t>
            </w:r>
          </w:p>
        </w:tc>
        <w:tc>
          <w:tcPr>
            <w:tcW w:w="1481" w:type="dxa"/>
          </w:tcPr>
          <w:p w14:paraId="591E2DB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UK</w:t>
            </w:r>
          </w:p>
        </w:tc>
        <w:tc>
          <w:tcPr>
            <w:tcW w:w="1509" w:type="dxa"/>
          </w:tcPr>
          <w:p w14:paraId="75CC4C2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ICT</w:t>
            </w:r>
          </w:p>
        </w:tc>
        <w:tc>
          <w:tcPr>
            <w:tcW w:w="2664" w:type="dxa"/>
          </w:tcPr>
          <w:p w14:paraId="39922E03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Empirically investigated the implementation of the circular economy, as well as the integration of a digital twin </w:t>
            </w:r>
          </w:p>
        </w:tc>
        <w:tc>
          <w:tcPr>
            <w:tcW w:w="2700" w:type="dxa"/>
          </w:tcPr>
          <w:p w14:paraId="37FC0B9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Case studies can be used as a research method in future research to provide real-world examples for digital twin–circular economy integration through specific cases</w:t>
            </w:r>
          </w:p>
        </w:tc>
        <w:tc>
          <w:tcPr>
            <w:tcW w:w="1206" w:type="dxa"/>
          </w:tcPr>
          <w:p w14:paraId="5B56A7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0955FE5F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12191C5" w14:textId="6A84BA9F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1580" w:type="dxa"/>
          </w:tcPr>
          <w:p w14:paraId="5FE20BCE" w14:textId="36997E10" w:rsidR="003202F1" w:rsidRPr="00FD71BF" w:rsidRDefault="003202F1" w:rsidP="008853A1">
            <w:pPr>
              <w:pStyle w:val="MDPI42tablebody"/>
              <w:spacing w:line="240" w:lineRule="auto"/>
              <w:ind w:left="-1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Ömer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Çimen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>, 2023 [12</w:t>
            </w:r>
            <w:r w:rsidR="008853A1" w:rsidRPr="00FD71BF">
              <w:rPr>
                <w:rFonts w:cstheme="minorHAnsi"/>
                <w:sz w:val="16"/>
                <w:szCs w:val="16"/>
                <w:lang w:val="en-GB"/>
              </w:rPr>
              <w:t>3</w:t>
            </w:r>
            <w:r w:rsidRPr="00FD71BF">
              <w:rPr>
                <w:rFonts w:cstheme="minorHAnsi"/>
                <w:sz w:val="16"/>
                <w:szCs w:val="16"/>
                <w:lang w:val="en-GB"/>
              </w:rPr>
              <w:t>].</w:t>
            </w:r>
          </w:p>
        </w:tc>
        <w:tc>
          <w:tcPr>
            <w:tcW w:w="1579" w:type="dxa"/>
          </w:tcPr>
          <w:p w14:paraId="7DEBC4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Review</w:t>
            </w:r>
          </w:p>
        </w:tc>
        <w:tc>
          <w:tcPr>
            <w:tcW w:w="1579" w:type="dxa"/>
          </w:tcPr>
          <w:p w14:paraId="58DDC36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Redesign </w:t>
            </w:r>
          </w:p>
        </w:tc>
        <w:tc>
          <w:tcPr>
            <w:tcW w:w="1481" w:type="dxa"/>
          </w:tcPr>
          <w:p w14:paraId="4E9E381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26DA6C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Building </w:t>
            </w:r>
          </w:p>
        </w:tc>
        <w:tc>
          <w:tcPr>
            <w:tcW w:w="2664" w:type="dxa"/>
          </w:tcPr>
          <w:p w14:paraId="248223ED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22 R principles are analyzed and clarified into 14 R principles, first framework applying R principles to building lifecycle.</w:t>
            </w:r>
          </w:p>
          <w:p w14:paraId="2FA90D5F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00" w:type="dxa"/>
          </w:tcPr>
          <w:p w14:paraId="0372B9E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Redesign next-generation components from materials recovered from the prior life cycle</w:t>
            </w:r>
          </w:p>
        </w:tc>
        <w:tc>
          <w:tcPr>
            <w:tcW w:w="1206" w:type="dxa"/>
          </w:tcPr>
          <w:p w14:paraId="6353665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  <w:p w14:paraId="118A7FD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780202B9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30C31A4" w14:textId="00F8576F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73</w:t>
            </w:r>
          </w:p>
        </w:tc>
        <w:tc>
          <w:tcPr>
            <w:tcW w:w="1580" w:type="dxa"/>
          </w:tcPr>
          <w:p w14:paraId="45D94415" w14:textId="638880E0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S.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Vennila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&amp; K.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Karthikeyan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2024[10</w:t>
            </w:r>
            <w:r w:rsidR="008853A1" w:rsidRPr="00FD71BF">
              <w:rPr>
                <w:rFonts w:cstheme="minorHAnsi"/>
                <w:sz w:val="16"/>
                <w:szCs w:val="16"/>
              </w:rPr>
              <w:t>5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3B15BBD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</w:t>
            </w:r>
          </w:p>
          <w:p w14:paraId="4BD4C5C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79" w:type="dxa"/>
          </w:tcPr>
          <w:p w14:paraId="3CB461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Reconcile </w:t>
            </w:r>
          </w:p>
        </w:tc>
        <w:tc>
          <w:tcPr>
            <w:tcW w:w="1481" w:type="dxa"/>
          </w:tcPr>
          <w:p w14:paraId="6F1A93A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India </w:t>
            </w:r>
          </w:p>
        </w:tc>
        <w:tc>
          <w:tcPr>
            <w:tcW w:w="1509" w:type="dxa"/>
          </w:tcPr>
          <w:p w14:paraId="699F54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Food industry </w:t>
            </w:r>
          </w:p>
        </w:tc>
        <w:tc>
          <w:tcPr>
            <w:tcW w:w="2664" w:type="dxa"/>
          </w:tcPr>
          <w:p w14:paraId="208C80B2" w14:textId="2E196D71" w:rsidR="003202F1" w:rsidRPr="00FD71BF" w:rsidRDefault="00C8767C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Developed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an EOQ inventory model with reduced food waste by manipulating Circular economy.</w:t>
            </w:r>
          </w:p>
        </w:tc>
        <w:tc>
          <w:tcPr>
            <w:tcW w:w="2700" w:type="dxa"/>
          </w:tcPr>
          <w:p w14:paraId="4932002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 order quantity Economics of warehousing</w:t>
            </w:r>
          </w:p>
        </w:tc>
        <w:tc>
          <w:tcPr>
            <w:tcW w:w="1206" w:type="dxa"/>
          </w:tcPr>
          <w:p w14:paraId="1E3BFF8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  <w:p w14:paraId="7EC6BC7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  <w:p w14:paraId="293882E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72830F6F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02F5F42" w14:textId="523EDF7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1580" w:type="dxa"/>
          </w:tcPr>
          <w:p w14:paraId="346617C2" w14:textId="4E99CAF5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Noorshella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Che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Nawi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 et al, 2024</w:t>
            </w:r>
            <w:r w:rsidRPr="00FD71BF">
              <w:rPr>
                <w:rFonts w:cstheme="minorHAnsi"/>
                <w:sz w:val="16"/>
                <w:szCs w:val="16"/>
              </w:rPr>
              <w:t>[8</w:t>
            </w:r>
            <w:r w:rsidR="008853A1" w:rsidRPr="00FD71BF">
              <w:rPr>
                <w:rFonts w:cstheme="minorHAnsi"/>
                <w:sz w:val="16"/>
                <w:szCs w:val="16"/>
              </w:rPr>
              <w:t>9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4BAA2A7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A2C2046" w14:textId="77777777" w:rsidR="003202F1" w:rsidRPr="00FD71BF" w:rsidRDefault="00DA0E8A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hyperlink r:id="rId9" w:tooltip="Learn more about Neoliberalism from ScienceDirect's AI-generated Topic Pages" w:history="1"/>
            <w:r w:rsidR="003202F1" w:rsidRPr="00FD71BF">
              <w:rPr>
                <w:rFonts w:cstheme="minorHAnsi"/>
                <w:sz w:val="16"/>
                <w:szCs w:val="16"/>
              </w:rPr>
              <w:t> </w:t>
            </w:r>
            <w:r w:rsidR="003202F1" w:rsidRPr="00FD71BF">
              <w:rPr>
                <w:rFonts w:cstheme="minorHAnsi"/>
                <w:color w:val="1F1F1F"/>
                <w:sz w:val="16"/>
                <w:szCs w:val="16"/>
              </w:rPr>
              <w:t>e-wallet adoption</w:t>
            </w:r>
          </w:p>
        </w:tc>
        <w:tc>
          <w:tcPr>
            <w:tcW w:w="1481" w:type="dxa"/>
          </w:tcPr>
          <w:p w14:paraId="69DEFFB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Indonesia</w:t>
            </w:r>
          </w:p>
        </w:tc>
        <w:tc>
          <w:tcPr>
            <w:tcW w:w="1509" w:type="dxa"/>
          </w:tcPr>
          <w:p w14:paraId="2B05B52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Electronics engineering </w:t>
            </w:r>
          </w:p>
        </w:tc>
        <w:tc>
          <w:tcPr>
            <w:tcW w:w="2664" w:type="dxa"/>
          </w:tcPr>
          <w:p w14:paraId="150260B3" w14:textId="29E9C778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Provides valuable insights for e-wallet providers, policymakers, and researchers in understanding electronic wallet adoption in Indo</w:t>
            </w:r>
            <w:r w:rsidR="00C8767C">
              <w:rPr>
                <w:rFonts w:cstheme="minorHAnsi"/>
                <w:sz w:val="16"/>
                <w:szCs w:val="16"/>
              </w:rPr>
              <w:t xml:space="preserve">nesia. </w:t>
            </w:r>
          </w:p>
        </w:tc>
        <w:tc>
          <w:tcPr>
            <w:tcW w:w="2700" w:type="dxa"/>
          </w:tcPr>
          <w:p w14:paraId="34F801BA" w14:textId="4760D477" w:rsidR="003202F1" w:rsidRPr="00FD71BF" w:rsidRDefault="003202F1" w:rsidP="00C8767C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Go Paperless</w:t>
            </w:r>
            <w:r w:rsidR="00C8767C">
              <w:rPr>
                <w:rFonts w:cstheme="minorHAnsi"/>
                <w:sz w:val="16"/>
                <w:szCs w:val="16"/>
              </w:rPr>
              <w:t>, d</w:t>
            </w:r>
            <w:r w:rsidRPr="00FD71BF">
              <w:rPr>
                <w:rFonts w:cstheme="minorHAnsi"/>
                <w:sz w:val="16"/>
                <w:szCs w:val="16"/>
              </w:rPr>
              <w:t>igital file sharing, electronic signatures and online forms.</w:t>
            </w:r>
          </w:p>
        </w:tc>
        <w:tc>
          <w:tcPr>
            <w:tcW w:w="1206" w:type="dxa"/>
          </w:tcPr>
          <w:p w14:paraId="2967145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4513C30A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8F41561" w14:textId="5110B805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1580" w:type="dxa"/>
          </w:tcPr>
          <w:p w14:paraId="36E4EE0D" w14:textId="506443A3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Matthias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Multani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, Kris </w:t>
            </w:r>
            <w:proofErr w:type="spellStart"/>
            <w:r w:rsidRPr="00FD71BF">
              <w:rPr>
                <w:rFonts w:cstheme="minorHAnsi"/>
                <w:sz w:val="16"/>
                <w:szCs w:val="16"/>
                <w:lang w:val="en-GB"/>
              </w:rPr>
              <w:t>Bachus</w:t>
            </w:r>
            <w:proofErr w:type="spellEnd"/>
            <w:r w:rsidRPr="00FD71BF">
              <w:rPr>
                <w:rFonts w:cstheme="minorHAnsi"/>
                <w:sz w:val="16"/>
                <w:szCs w:val="16"/>
                <w:lang w:val="en-GB"/>
              </w:rPr>
              <w:t>, 2024</w:t>
            </w:r>
            <w:r w:rsidRPr="00FD71BF">
              <w:rPr>
                <w:rFonts w:cstheme="minorHAnsi"/>
                <w:sz w:val="16"/>
                <w:szCs w:val="16"/>
              </w:rPr>
              <w:t>[4</w:t>
            </w:r>
            <w:r w:rsidR="008853A1" w:rsidRPr="00FD71BF">
              <w:rPr>
                <w:rFonts w:cstheme="minorHAnsi"/>
                <w:sz w:val="16"/>
                <w:szCs w:val="16"/>
              </w:rPr>
              <w:t>7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078D2AF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Discourse analysis </w:t>
            </w:r>
          </w:p>
        </w:tc>
        <w:tc>
          <w:tcPr>
            <w:tcW w:w="1579" w:type="dxa"/>
          </w:tcPr>
          <w:p w14:paraId="4DB5E8B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Labour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on circularity </w:t>
            </w:r>
          </w:p>
        </w:tc>
        <w:tc>
          <w:tcPr>
            <w:tcW w:w="1481" w:type="dxa"/>
          </w:tcPr>
          <w:p w14:paraId="56ADD46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Belgium</w:t>
            </w:r>
          </w:p>
        </w:tc>
        <w:tc>
          <w:tcPr>
            <w:tcW w:w="1509" w:type="dxa"/>
          </w:tcPr>
          <w:p w14:paraId="65B958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Labour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economics </w:t>
            </w:r>
          </w:p>
        </w:tc>
        <w:tc>
          <w:tcPr>
            <w:tcW w:w="2664" w:type="dxa"/>
          </w:tcPr>
          <w:p w14:paraId="12869508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Explores the relationship between circular economy and jobs, crucial for sustainable transitions.</w:t>
            </w:r>
          </w:p>
        </w:tc>
        <w:tc>
          <w:tcPr>
            <w:tcW w:w="2700" w:type="dxa"/>
          </w:tcPr>
          <w:p w14:paraId="10FB17A8" w14:textId="0018E804" w:rsidR="003202F1" w:rsidRPr="00FD71BF" w:rsidRDefault="00C8767C" w:rsidP="00C8767C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division of </w:t>
            </w:r>
            <w:proofErr w:type="spellStart"/>
            <w:r>
              <w:rPr>
                <w:rFonts w:cstheme="minorHAnsi"/>
                <w:sz w:val="16"/>
                <w:szCs w:val="16"/>
              </w:rPr>
              <w:t>labour</w:t>
            </w:r>
            <w:proofErr w:type="spellEnd"/>
            <w:r>
              <w:rPr>
                <w:rFonts w:cstheme="minorHAnsi"/>
                <w:sz w:val="16"/>
                <w:szCs w:val="16"/>
              </w:rPr>
              <w:t xml:space="preserve">, 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bar bending and bar cutting is done by special skilled 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labours</w:t>
            </w:r>
            <w:proofErr w:type="spellEnd"/>
          </w:p>
        </w:tc>
        <w:tc>
          <w:tcPr>
            <w:tcW w:w="1206" w:type="dxa"/>
          </w:tcPr>
          <w:p w14:paraId="0BC74C7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  <w:p w14:paraId="77CC5EA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  <w:p w14:paraId="7658BB3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 </w:t>
            </w:r>
          </w:p>
        </w:tc>
      </w:tr>
      <w:tr w:rsidR="003202F1" w:rsidRPr="00FD71BF" w14:paraId="374F98E0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222E332C" w14:textId="0970758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1580" w:type="dxa"/>
          </w:tcPr>
          <w:p w14:paraId="616DDEF9" w14:textId="23083D1A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M.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Pyo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and J. Yang, 2024[9</w:t>
            </w:r>
            <w:r w:rsidR="008853A1" w:rsidRPr="00FD71BF">
              <w:rPr>
                <w:rFonts w:cstheme="minorHAnsi"/>
                <w:sz w:val="16"/>
                <w:szCs w:val="16"/>
              </w:rPr>
              <w:t>1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4F0FD4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2D68FD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Economies of scale </w:t>
            </w:r>
          </w:p>
        </w:tc>
        <w:tc>
          <w:tcPr>
            <w:tcW w:w="1481" w:type="dxa"/>
          </w:tcPr>
          <w:p w14:paraId="2FC8D9C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475719A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Automobile industry </w:t>
            </w:r>
          </w:p>
        </w:tc>
        <w:tc>
          <w:tcPr>
            <w:tcW w:w="2664" w:type="dxa"/>
          </w:tcPr>
          <w:p w14:paraId="7380199F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>Optimum allocation between FDI and exporting in the presence of transaction costs and economies of scale</w:t>
            </w:r>
          </w:p>
        </w:tc>
        <w:tc>
          <w:tcPr>
            <w:tcW w:w="2700" w:type="dxa"/>
          </w:tcPr>
          <w:p w14:paraId="1463CF9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Cost modeling </w:t>
            </w:r>
          </w:p>
        </w:tc>
        <w:tc>
          <w:tcPr>
            <w:tcW w:w="1206" w:type="dxa"/>
          </w:tcPr>
          <w:p w14:paraId="541EA9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Theory </w:t>
            </w:r>
          </w:p>
        </w:tc>
      </w:tr>
      <w:tr w:rsidR="003202F1" w:rsidRPr="00FD71BF" w14:paraId="6618C9C2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03A88BB1" w14:textId="3A5A84FB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1580" w:type="dxa"/>
          </w:tcPr>
          <w:p w14:paraId="7403AF42" w14:textId="0413E0B3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Salinas-Navarro, D.E.; et al, 2024[4</w:t>
            </w:r>
            <w:r w:rsidR="008853A1" w:rsidRPr="00FD71BF">
              <w:rPr>
                <w:rFonts w:cstheme="minorHAnsi"/>
                <w:sz w:val="16"/>
                <w:szCs w:val="16"/>
              </w:rPr>
              <w:t>8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4C676C6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Case study</w:t>
            </w:r>
          </w:p>
        </w:tc>
        <w:tc>
          <w:tcPr>
            <w:tcW w:w="1579" w:type="dxa"/>
          </w:tcPr>
          <w:p w14:paraId="36B6041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Experiential learning </w:t>
            </w:r>
          </w:p>
        </w:tc>
        <w:tc>
          <w:tcPr>
            <w:tcW w:w="1481" w:type="dxa"/>
          </w:tcPr>
          <w:p w14:paraId="7FC7659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Mexico</w:t>
            </w:r>
          </w:p>
        </w:tc>
        <w:tc>
          <w:tcPr>
            <w:tcW w:w="1509" w:type="dxa"/>
          </w:tcPr>
          <w:p w14:paraId="1F91CC3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Operational management </w:t>
            </w:r>
          </w:p>
        </w:tc>
        <w:tc>
          <w:tcPr>
            <w:tcW w:w="2664" w:type="dxa"/>
          </w:tcPr>
          <w:p w14:paraId="37534865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Integrate real-world circular economy challenges into learning activities that address issues concerning solid waste generation in business processes and operations.</w:t>
            </w:r>
          </w:p>
        </w:tc>
        <w:tc>
          <w:tcPr>
            <w:tcW w:w="2700" w:type="dxa"/>
          </w:tcPr>
          <w:p w14:paraId="110D274E" w14:textId="76264B83" w:rsidR="003202F1" w:rsidRPr="00FD71BF" w:rsidRDefault="00C8767C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L</w:t>
            </w:r>
            <w:r w:rsidR="003202F1" w:rsidRPr="00FD71BF">
              <w:rPr>
                <w:rFonts w:cstheme="minorHAnsi"/>
                <w:sz w:val="16"/>
                <w:szCs w:val="16"/>
              </w:rPr>
              <w:t>earning by doing</w:t>
            </w:r>
          </w:p>
        </w:tc>
        <w:tc>
          <w:tcPr>
            <w:tcW w:w="1206" w:type="dxa"/>
          </w:tcPr>
          <w:p w14:paraId="40A9A24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  <w:p w14:paraId="46C3F19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Practice </w:t>
            </w:r>
          </w:p>
        </w:tc>
      </w:tr>
      <w:tr w:rsidR="003202F1" w:rsidRPr="00FD71BF" w14:paraId="5F14112B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000FA61" w14:textId="3DAC5418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1580" w:type="dxa"/>
          </w:tcPr>
          <w:p w14:paraId="20925274" w14:textId="548349BE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en-GB"/>
              </w:rPr>
            </w:pPr>
            <w:r w:rsidRPr="00FD71BF">
              <w:rPr>
                <w:rFonts w:cstheme="minorHAnsi"/>
                <w:sz w:val="16"/>
                <w:szCs w:val="16"/>
              </w:rPr>
              <w:t>Hassan, M.R. et al, 2024[9</w:t>
            </w:r>
            <w:r w:rsidR="008853A1" w:rsidRPr="00FD71BF">
              <w:rPr>
                <w:rFonts w:cstheme="minorHAnsi"/>
                <w:sz w:val="16"/>
                <w:szCs w:val="16"/>
              </w:rPr>
              <w:t>5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2871DF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Review </w:t>
            </w:r>
          </w:p>
        </w:tc>
        <w:tc>
          <w:tcPr>
            <w:tcW w:w="1579" w:type="dxa"/>
          </w:tcPr>
          <w:p w14:paraId="338E22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en-GB"/>
              </w:rPr>
            </w:pPr>
            <w:r w:rsidRPr="00FD71BF">
              <w:rPr>
                <w:rFonts w:cstheme="minorHAnsi"/>
                <w:sz w:val="16"/>
                <w:szCs w:val="16"/>
              </w:rPr>
              <w:t>Waste Tire</w:t>
            </w:r>
          </w:p>
        </w:tc>
        <w:tc>
          <w:tcPr>
            <w:tcW w:w="1481" w:type="dxa"/>
          </w:tcPr>
          <w:p w14:paraId="6ED6B47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Canada</w:t>
            </w:r>
          </w:p>
        </w:tc>
        <w:tc>
          <w:tcPr>
            <w:tcW w:w="1509" w:type="dxa"/>
          </w:tcPr>
          <w:p w14:paraId="3DD678A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Civil engineering</w:t>
            </w:r>
          </w:p>
        </w:tc>
        <w:tc>
          <w:tcPr>
            <w:tcW w:w="2664" w:type="dxa"/>
          </w:tcPr>
          <w:p w14:paraId="67E03BEB" w14:textId="0F3E0C5F" w:rsidR="003202F1" w:rsidRPr="00FD71BF" w:rsidRDefault="00C8767C" w:rsidP="00C8767C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</w:t>
            </w:r>
            <w:r w:rsidR="003202F1" w:rsidRPr="00FD71BF">
              <w:rPr>
                <w:rFonts w:cstheme="minorHAnsi"/>
                <w:sz w:val="16"/>
                <w:szCs w:val="16"/>
              </w:rPr>
              <w:t>iscusse</w:t>
            </w:r>
            <w:r>
              <w:rPr>
                <w:rFonts w:cstheme="minorHAnsi"/>
                <w:sz w:val="16"/>
                <w:szCs w:val="16"/>
              </w:rPr>
              <w:t>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commercially available recycled rubber-based construction materials, their properties, testing standards, and certification</w:t>
            </w:r>
          </w:p>
        </w:tc>
        <w:tc>
          <w:tcPr>
            <w:tcW w:w="2700" w:type="dxa"/>
          </w:tcPr>
          <w:p w14:paraId="2067939E" w14:textId="3B1EC336" w:rsidR="003202F1" w:rsidRPr="00FD71BF" w:rsidRDefault="00C8767C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F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urther studies and cooperation of different stakeholders are required to address these challenges supporting the development of 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Earthship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 xml:space="preserve"> buildings</w:t>
            </w:r>
          </w:p>
        </w:tc>
        <w:tc>
          <w:tcPr>
            <w:tcW w:w="1206" w:type="dxa"/>
          </w:tcPr>
          <w:p w14:paraId="4096E7C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</w:t>
            </w:r>
          </w:p>
          <w:p w14:paraId="784736F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3B70B7D5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FE3996E" w14:textId="1722FE6E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1580" w:type="dxa"/>
          </w:tcPr>
          <w:p w14:paraId="7981DFA2" w14:textId="5DD122DD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Santos, P.; et al, 2024[6</w:t>
            </w:r>
            <w:r w:rsidR="008853A1" w:rsidRPr="00FD71BF">
              <w:rPr>
                <w:rFonts w:cstheme="minorHAnsi"/>
                <w:sz w:val="16"/>
                <w:szCs w:val="16"/>
              </w:rPr>
              <w:t>5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066D3F6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28269F3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  <w:lang w:val="en-GB"/>
              </w:rPr>
              <w:t xml:space="preserve">Material usage strategies </w:t>
            </w:r>
          </w:p>
        </w:tc>
        <w:tc>
          <w:tcPr>
            <w:tcW w:w="1481" w:type="dxa"/>
          </w:tcPr>
          <w:p w14:paraId="6CB62B4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Portugal </w:t>
            </w:r>
          </w:p>
        </w:tc>
        <w:tc>
          <w:tcPr>
            <w:tcW w:w="1509" w:type="dxa"/>
          </w:tcPr>
          <w:p w14:paraId="23A68AF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Buildings</w:t>
            </w:r>
          </w:p>
        </w:tc>
        <w:tc>
          <w:tcPr>
            <w:tcW w:w="2664" w:type="dxa"/>
          </w:tcPr>
          <w:p w14:paraId="472E4002" w14:textId="2F1FCE0A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Application of circular theory via a novel block </w:t>
            </w:r>
            <w:r w:rsidR="00C8767C" w:rsidRPr="00FD71BF">
              <w:rPr>
                <w:rFonts w:cstheme="minorHAnsi"/>
                <w:sz w:val="16"/>
                <w:szCs w:val="16"/>
              </w:rPr>
              <w:t>system</w:t>
            </w:r>
            <w:r w:rsidRPr="00FD71BF">
              <w:rPr>
                <w:rFonts w:cstheme="minorHAnsi"/>
                <w:sz w:val="16"/>
                <w:szCs w:val="16"/>
              </w:rPr>
              <w:t xml:space="preserve"> recycled aggregate, modular kitchen reuse, and an energy efficiency retrofit.</w:t>
            </w:r>
          </w:p>
        </w:tc>
        <w:tc>
          <w:tcPr>
            <w:tcW w:w="2700" w:type="dxa"/>
          </w:tcPr>
          <w:p w14:paraId="545A667D" w14:textId="5924D161" w:rsidR="003202F1" w:rsidRPr="00FD71BF" w:rsidRDefault="00C8767C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3202F1" w:rsidRPr="00FD71BF">
              <w:rPr>
                <w:rFonts w:cstheme="minorHAnsi"/>
                <w:sz w:val="16"/>
                <w:szCs w:val="16"/>
              </w:rPr>
              <w:t>ntegration of technological advancements, such as AI, robotics, and block chain, is essential for optimizing waste management efficiency</w:t>
            </w:r>
          </w:p>
        </w:tc>
        <w:tc>
          <w:tcPr>
            <w:tcW w:w="1206" w:type="dxa"/>
          </w:tcPr>
          <w:p w14:paraId="2B1ABA7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172B7DCE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E49343A" w14:textId="3487700B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1580" w:type="dxa"/>
          </w:tcPr>
          <w:p w14:paraId="09658AB6" w14:textId="3B734183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Gamage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I. et al, 2024[66</w:t>
            </w:r>
            <w:r w:rsidR="003202F1" w:rsidRPr="00FD71BF">
              <w:rPr>
                <w:rFonts w:cstheme="minorHAnsi"/>
                <w:sz w:val="16"/>
                <w:szCs w:val="16"/>
              </w:rPr>
              <w:t>]</w:t>
            </w:r>
            <w:r w:rsidR="003202F1"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1787227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Meta-analysis </w:t>
            </w:r>
          </w:p>
        </w:tc>
        <w:tc>
          <w:tcPr>
            <w:tcW w:w="1579" w:type="dxa"/>
          </w:tcPr>
          <w:p w14:paraId="3642DB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Potential Practices and Relationships</w:t>
            </w:r>
          </w:p>
        </w:tc>
        <w:tc>
          <w:tcPr>
            <w:tcW w:w="1481" w:type="dxa"/>
          </w:tcPr>
          <w:p w14:paraId="3DFE7D2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Sri Lanka</w:t>
            </w:r>
          </w:p>
        </w:tc>
        <w:tc>
          <w:tcPr>
            <w:tcW w:w="1509" w:type="dxa"/>
          </w:tcPr>
          <w:p w14:paraId="6714583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128963BE" w14:textId="19456B76" w:rsidR="003202F1" w:rsidRPr="00FD71BF" w:rsidRDefault="00C87763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3202F1" w:rsidRPr="00FD71BF">
              <w:rPr>
                <w:rFonts w:cstheme="minorHAnsi"/>
                <w:sz w:val="16"/>
                <w:szCs w:val="16"/>
              </w:rPr>
              <w:t>dentifying the relationships of highly cited CE practices in the literature</w:t>
            </w:r>
          </w:p>
        </w:tc>
        <w:tc>
          <w:tcPr>
            <w:tcW w:w="2700" w:type="dxa"/>
          </w:tcPr>
          <w:p w14:paraId="3BC42C1E" w14:textId="01AC0790" w:rsidR="003202F1" w:rsidRPr="00FD71BF" w:rsidRDefault="00C8767C" w:rsidP="00C87763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>
              <w:rPr>
                <w:rFonts w:cstheme="minorHAnsi"/>
                <w:sz w:val="16"/>
                <w:szCs w:val="16"/>
              </w:rPr>
              <w:t>A</w:t>
            </w:r>
            <w:r w:rsidRPr="00FD71BF">
              <w:rPr>
                <w:rFonts w:cstheme="minorHAnsi"/>
                <w:sz w:val="16"/>
                <w:szCs w:val="16"/>
              </w:rPr>
              <w:t>nalys</w:t>
            </w:r>
            <w:r w:rsidR="00C87763">
              <w:rPr>
                <w:rFonts w:cstheme="minorHAnsi"/>
                <w:sz w:val="16"/>
                <w:szCs w:val="16"/>
              </w:rPr>
              <w:t>e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 xml:space="preserve"> stakeholder contribution towards implementing each of these CE practices, along with the information to be shared by stakeholders</w:t>
            </w:r>
          </w:p>
        </w:tc>
        <w:tc>
          <w:tcPr>
            <w:tcW w:w="1206" w:type="dxa"/>
          </w:tcPr>
          <w:p w14:paraId="6FDD484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55682900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7A85F46A" w14:textId="4AE224AC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1580" w:type="dxa"/>
          </w:tcPr>
          <w:p w14:paraId="7FFE89A1" w14:textId="0C6D5CB6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Karaca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F et al, 2024[6</w:t>
            </w:r>
            <w:r w:rsidR="008853A1" w:rsidRPr="00FD71BF">
              <w:rPr>
                <w:rFonts w:cstheme="minorHAnsi"/>
                <w:sz w:val="16"/>
                <w:szCs w:val="16"/>
              </w:rPr>
              <w:t>2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62F2E0E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1AAA91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Inclusive Resource Equity</w:t>
            </w:r>
          </w:p>
        </w:tc>
        <w:tc>
          <w:tcPr>
            <w:tcW w:w="1481" w:type="dxa"/>
          </w:tcPr>
          <w:p w14:paraId="1C95F8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Kazakhstan</w:t>
            </w:r>
          </w:p>
        </w:tc>
        <w:tc>
          <w:tcPr>
            <w:tcW w:w="1509" w:type="dxa"/>
          </w:tcPr>
          <w:p w14:paraId="40735CF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Stakeholder management </w:t>
            </w:r>
          </w:p>
        </w:tc>
        <w:tc>
          <w:tcPr>
            <w:tcW w:w="2664" w:type="dxa"/>
          </w:tcPr>
          <w:p w14:paraId="24C283CA" w14:textId="28525DFD" w:rsidR="003202F1" w:rsidRPr="00FD71BF" w:rsidRDefault="00C87763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="003202F1" w:rsidRPr="00FD71BF">
              <w:rPr>
                <w:rFonts w:cstheme="minorHAnsi"/>
                <w:sz w:val="16"/>
                <w:szCs w:val="16"/>
              </w:rPr>
              <w:t>roactive and collaborative efforts aimed at advancing resource equity in the construction sector and promoting ju</w:t>
            </w:r>
            <w:r>
              <w:rPr>
                <w:rFonts w:cstheme="minorHAnsi"/>
                <w:sz w:val="16"/>
                <w:szCs w:val="16"/>
              </w:rPr>
              <w:t xml:space="preserve">st and inclusive resource use. </w:t>
            </w:r>
          </w:p>
        </w:tc>
        <w:tc>
          <w:tcPr>
            <w:tcW w:w="2700" w:type="dxa"/>
          </w:tcPr>
          <w:p w14:paraId="5546B339" w14:textId="51C9F755" w:rsidR="003202F1" w:rsidRPr="00FD71BF" w:rsidRDefault="00C87763" w:rsidP="00C87763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Recommended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to augment sentiment analysis studies of terms, such as “CE”, “sustainability”, and other</w:t>
            </w:r>
            <w:r>
              <w:rPr>
                <w:rFonts w:cstheme="minorHAnsi"/>
                <w:sz w:val="16"/>
                <w:szCs w:val="16"/>
              </w:rPr>
              <w:t xml:space="preserve"> environmentally related terms</w:t>
            </w:r>
          </w:p>
        </w:tc>
        <w:tc>
          <w:tcPr>
            <w:tcW w:w="1206" w:type="dxa"/>
          </w:tcPr>
          <w:p w14:paraId="14567F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Empirical </w:t>
            </w:r>
          </w:p>
        </w:tc>
      </w:tr>
      <w:tr w:rsidR="003202F1" w:rsidRPr="00FD71BF" w14:paraId="5DA9924B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17F9CA9B" w14:textId="60A5A9AF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lastRenderedPageBreak/>
              <w:t>82</w:t>
            </w:r>
          </w:p>
        </w:tc>
        <w:tc>
          <w:tcPr>
            <w:tcW w:w="1580" w:type="dxa"/>
          </w:tcPr>
          <w:p w14:paraId="64DE5B79" w14:textId="09849A0F" w:rsidR="003202F1" w:rsidRPr="00FD71BF" w:rsidRDefault="00551AD6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551AD6">
              <w:rPr>
                <w:rFonts w:cstheme="minorHAnsi"/>
                <w:sz w:val="16"/>
                <w:szCs w:val="16"/>
              </w:rPr>
              <w:t>Lopes, J.M.M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bookmarkStart w:id="0" w:name="_GoBack"/>
            <w:bookmarkEnd w:id="0"/>
            <w:r w:rsidR="003202F1" w:rsidRPr="00FD71BF">
              <w:rPr>
                <w:rFonts w:cstheme="minorHAnsi"/>
                <w:sz w:val="16"/>
                <w:szCs w:val="16"/>
              </w:rPr>
              <w:t>et al, 2024[36]</w:t>
            </w:r>
            <w:r w:rsidR="003202F1"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41680F8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0281DA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Green consumer behavior </w:t>
            </w:r>
          </w:p>
        </w:tc>
        <w:tc>
          <w:tcPr>
            <w:tcW w:w="1481" w:type="dxa"/>
          </w:tcPr>
          <w:p w14:paraId="2E05B22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Portugal </w:t>
            </w:r>
          </w:p>
        </w:tc>
        <w:tc>
          <w:tcPr>
            <w:tcW w:w="1509" w:type="dxa"/>
          </w:tcPr>
          <w:p w14:paraId="2B908E5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Business modeling</w:t>
            </w:r>
          </w:p>
        </w:tc>
        <w:tc>
          <w:tcPr>
            <w:tcW w:w="2664" w:type="dxa"/>
          </w:tcPr>
          <w:p w14:paraId="63B2337D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the influence of consumers’ green orientation on their environmental concerns and green purchase decisions.</w:t>
            </w:r>
          </w:p>
        </w:tc>
        <w:tc>
          <w:tcPr>
            <w:tcW w:w="2700" w:type="dxa"/>
          </w:tcPr>
          <w:p w14:paraId="466E3AF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Incentive schemes for green behaviors </w:t>
            </w:r>
          </w:p>
        </w:tc>
        <w:tc>
          <w:tcPr>
            <w:tcW w:w="1206" w:type="dxa"/>
          </w:tcPr>
          <w:p w14:paraId="0DD91FE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44674B17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D5E3BFC" w14:textId="4E6B7830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1580" w:type="dxa"/>
          </w:tcPr>
          <w:p w14:paraId="33300C3D" w14:textId="0DB843BE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Kwasafo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, Oscar et al, 2024[3</w:t>
            </w:r>
            <w:r w:rsidR="008853A1" w:rsidRPr="00FD71BF">
              <w:rPr>
                <w:rFonts w:cstheme="minorHAnsi"/>
                <w:sz w:val="16"/>
                <w:szCs w:val="16"/>
              </w:rPr>
              <w:t>9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555243E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500389D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Green procurement </w:t>
            </w:r>
          </w:p>
        </w:tc>
        <w:tc>
          <w:tcPr>
            <w:tcW w:w="1481" w:type="dxa"/>
          </w:tcPr>
          <w:p w14:paraId="32CB31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Ghana</w:t>
            </w:r>
          </w:p>
        </w:tc>
        <w:tc>
          <w:tcPr>
            <w:tcW w:w="1509" w:type="dxa"/>
          </w:tcPr>
          <w:p w14:paraId="382891C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076D9AD9" w14:textId="1C888B3D" w:rsidR="003202F1" w:rsidRPr="00FD71BF" w:rsidRDefault="007C62E1" w:rsidP="00F5335E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</w:t>
            </w:r>
            <w:r w:rsidR="003202F1" w:rsidRPr="00FD71BF">
              <w:rPr>
                <w:rFonts w:cstheme="minorHAnsi"/>
                <w:sz w:val="16"/>
                <w:szCs w:val="16"/>
              </w:rPr>
              <w:t>sights into the challenges and practices involved in green procurement</w:t>
            </w:r>
          </w:p>
        </w:tc>
        <w:tc>
          <w:tcPr>
            <w:tcW w:w="2700" w:type="dxa"/>
          </w:tcPr>
          <w:p w14:paraId="12DA2D9C" w14:textId="5A07E423" w:rsidR="003202F1" w:rsidRPr="00FD71BF" w:rsidRDefault="00C87763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P</w:t>
            </w:r>
            <w:r w:rsidR="003202F1" w:rsidRPr="00FD71BF">
              <w:rPr>
                <w:rFonts w:cstheme="minorHAnsi"/>
                <w:sz w:val="16"/>
                <w:szCs w:val="16"/>
              </w:rPr>
              <w:t>olicy and practice strengthening procurement requirements to fully leverage transition towards circular modalities</w:t>
            </w:r>
          </w:p>
        </w:tc>
        <w:tc>
          <w:tcPr>
            <w:tcW w:w="1206" w:type="dxa"/>
          </w:tcPr>
          <w:p w14:paraId="571464A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23CF601E" w14:textId="77777777" w:rsidTr="00FE6F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49B89011" w14:textId="0BEEAC9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1580" w:type="dxa"/>
          </w:tcPr>
          <w:p w14:paraId="487BA66E" w14:textId="63786362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City of Richmond, 2024[9</w:t>
            </w:r>
            <w:r w:rsidR="008853A1" w:rsidRPr="00FD71BF">
              <w:rPr>
                <w:rFonts w:cstheme="minorHAnsi"/>
                <w:sz w:val="16"/>
                <w:szCs w:val="16"/>
              </w:rPr>
              <w:t>9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4AACA40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Circular paper </w:t>
            </w:r>
          </w:p>
        </w:tc>
        <w:tc>
          <w:tcPr>
            <w:tcW w:w="1579" w:type="dxa"/>
          </w:tcPr>
          <w:p w14:paraId="5C1D60C1" w14:textId="1A28FFB6" w:rsidR="003202F1" w:rsidRPr="00FD71BF" w:rsidRDefault="004577C5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Imposition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of embodied</w:t>
            </w:r>
          </w:p>
          <w:p w14:paraId="6E15BF8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carbon limits</w:t>
            </w:r>
          </w:p>
        </w:tc>
        <w:tc>
          <w:tcPr>
            <w:tcW w:w="1481" w:type="dxa"/>
          </w:tcPr>
          <w:p w14:paraId="536087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British Colombia </w:t>
            </w:r>
          </w:p>
        </w:tc>
        <w:tc>
          <w:tcPr>
            <w:tcW w:w="1509" w:type="dxa"/>
          </w:tcPr>
          <w:p w14:paraId="39300A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</w:t>
            </w:r>
          </w:p>
        </w:tc>
        <w:tc>
          <w:tcPr>
            <w:tcW w:w="2664" w:type="dxa"/>
          </w:tcPr>
          <w:p w14:paraId="0305CE62" w14:textId="77777777" w:rsidR="003202F1" w:rsidRPr="00FD71BF" w:rsidRDefault="003202F1" w:rsidP="00F5335E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BC Energy Step Code and Zero Carbon Step Code, phased reduction in operational carbon emissions</w:t>
            </w:r>
          </w:p>
        </w:tc>
        <w:tc>
          <w:tcPr>
            <w:tcW w:w="2700" w:type="dxa"/>
          </w:tcPr>
          <w:p w14:paraId="10CB419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Exploring the application of embodied carbon limit on new constructions to reduce the embodied carbon footprint</w:t>
            </w:r>
          </w:p>
        </w:tc>
        <w:tc>
          <w:tcPr>
            <w:tcW w:w="1206" w:type="dxa"/>
          </w:tcPr>
          <w:p w14:paraId="60A1373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Method </w:t>
            </w:r>
          </w:p>
        </w:tc>
      </w:tr>
      <w:tr w:rsidR="003202F1" w:rsidRPr="00FD71BF" w14:paraId="24282153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5A72867" w14:textId="5E5F1C6D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1580" w:type="dxa"/>
          </w:tcPr>
          <w:p w14:paraId="58C5D886" w14:textId="210A4B8C" w:rsidR="003202F1" w:rsidRPr="00FD71BF" w:rsidRDefault="008853A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Calle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Müller, C, et al, 2024[96</w:t>
            </w:r>
            <w:r w:rsidR="003202F1" w:rsidRPr="00FD71BF">
              <w:rPr>
                <w:rFonts w:cstheme="minorHAnsi"/>
                <w:sz w:val="16"/>
                <w:szCs w:val="16"/>
              </w:rPr>
              <w:t>]</w:t>
            </w:r>
            <w:r w:rsidR="003202F1"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3910761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</w:t>
            </w:r>
          </w:p>
        </w:tc>
        <w:tc>
          <w:tcPr>
            <w:tcW w:w="1579" w:type="dxa"/>
          </w:tcPr>
          <w:p w14:paraId="478FB31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Advocacy  </w:t>
            </w:r>
          </w:p>
        </w:tc>
        <w:tc>
          <w:tcPr>
            <w:tcW w:w="1481" w:type="dxa"/>
          </w:tcPr>
          <w:p w14:paraId="6ED645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USA</w:t>
            </w:r>
          </w:p>
        </w:tc>
        <w:tc>
          <w:tcPr>
            <w:tcW w:w="1509" w:type="dxa"/>
          </w:tcPr>
          <w:p w14:paraId="2D374E6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Construction Training </w:t>
            </w:r>
          </w:p>
        </w:tc>
        <w:tc>
          <w:tcPr>
            <w:tcW w:w="2664" w:type="dxa"/>
          </w:tcPr>
          <w:p w14:paraId="3DC68108" w14:textId="426B76FF" w:rsidR="003202F1" w:rsidRPr="00FD71BF" w:rsidRDefault="00C87763" w:rsidP="004577C5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</w:t>
            </w:r>
            <w:r w:rsidR="003202F1" w:rsidRPr="00FD71BF">
              <w:rPr>
                <w:rFonts w:cstheme="minorHAnsi"/>
                <w:sz w:val="16"/>
                <w:szCs w:val="16"/>
              </w:rPr>
              <w:t>dvocated for a curriculum to prepare future workforce adopt</w:t>
            </w:r>
            <w:r w:rsidR="004577C5" w:rsidRPr="00FD71BF">
              <w:rPr>
                <w:rFonts w:cstheme="minorHAnsi"/>
                <w:sz w:val="16"/>
                <w:szCs w:val="16"/>
              </w:rPr>
              <w:t>ing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less carbonized, more circular approaches </w:t>
            </w:r>
          </w:p>
        </w:tc>
        <w:tc>
          <w:tcPr>
            <w:tcW w:w="2700" w:type="dxa"/>
          </w:tcPr>
          <w:p w14:paraId="0350E6A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Dedicated support programs for circular construction within industry organizations</w:t>
            </w:r>
          </w:p>
        </w:tc>
        <w:tc>
          <w:tcPr>
            <w:tcW w:w="1206" w:type="dxa"/>
          </w:tcPr>
          <w:p w14:paraId="51AE3B5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</w:tr>
      <w:tr w:rsidR="003202F1" w:rsidRPr="00FD71BF" w14:paraId="7B82DFCD" w14:textId="77777777" w:rsidTr="00C87763">
        <w:trPr>
          <w:trHeight w:val="6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32934305" w14:textId="01D27511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1580" w:type="dxa"/>
          </w:tcPr>
          <w:p w14:paraId="567EF6CC" w14:textId="78528EBE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Santos, P.;, et al,2024[9</w:t>
            </w:r>
            <w:r w:rsidR="008853A1" w:rsidRPr="00FD71BF">
              <w:rPr>
                <w:rFonts w:cstheme="minorHAnsi"/>
                <w:sz w:val="16"/>
                <w:szCs w:val="16"/>
              </w:rPr>
              <w:t>2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5FCEE419" w14:textId="4B81643F" w:rsidR="003202F1" w:rsidRPr="00FD71BF" w:rsidRDefault="004577C5" w:rsidP="004577C5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bibliome</w:t>
            </w:r>
            <w:r w:rsidR="003202F1" w:rsidRPr="00FD71BF">
              <w:rPr>
                <w:rFonts w:cstheme="minorHAnsi"/>
                <w:sz w:val="16"/>
                <w:szCs w:val="16"/>
              </w:rPr>
              <w:t>tric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 xml:space="preserve"> analysis</w:t>
            </w:r>
          </w:p>
        </w:tc>
        <w:tc>
          <w:tcPr>
            <w:tcW w:w="1579" w:type="dxa"/>
          </w:tcPr>
          <w:p w14:paraId="1F1173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Foresight for</w:t>
            </w:r>
          </w:p>
          <w:p w14:paraId="7B94DF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on-site material</w:t>
            </w:r>
          </w:p>
          <w:p w14:paraId="194F5C1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management</w:t>
            </w:r>
          </w:p>
        </w:tc>
        <w:tc>
          <w:tcPr>
            <w:tcW w:w="1481" w:type="dxa"/>
          </w:tcPr>
          <w:p w14:paraId="148D8E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Portugal</w:t>
            </w:r>
          </w:p>
        </w:tc>
        <w:tc>
          <w:tcPr>
            <w:tcW w:w="1509" w:type="dxa"/>
          </w:tcPr>
          <w:p w14:paraId="15B1753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Buildings </w:t>
            </w:r>
          </w:p>
        </w:tc>
        <w:tc>
          <w:tcPr>
            <w:tcW w:w="2664" w:type="dxa"/>
          </w:tcPr>
          <w:p w14:paraId="53E990C5" w14:textId="3D6D8D5C" w:rsidR="003202F1" w:rsidRPr="00FD71BF" w:rsidRDefault="003202F1" w:rsidP="00CF671F">
            <w:pPr>
              <w:pStyle w:val="MDPI42tablebody"/>
              <w:spacing w:line="240" w:lineRule="auto"/>
              <w:ind w:right="7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Identify patterns, relationships, and </w:t>
            </w:r>
            <w:r w:rsidR="00CF671F" w:rsidRPr="00FD71BF">
              <w:rPr>
                <w:rFonts w:cstheme="minorHAnsi"/>
                <w:sz w:val="16"/>
                <w:szCs w:val="16"/>
              </w:rPr>
              <w:t xml:space="preserve">valuable insights </w:t>
            </w:r>
          </w:p>
        </w:tc>
        <w:tc>
          <w:tcPr>
            <w:tcW w:w="2700" w:type="dxa"/>
          </w:tcPr>
          <w:p w14:paraId="093DED10" w14:textId="2FC0E8C8" w:rsidR="003202F1" w:rsidRPr="00FD71BF" w:rsidRDefault="003202F1" w:rsidP="00C87763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of AI, robotics, and block chain for optimizing waste management efficiency</w:t>
            </w:r>
          </w:p>
        </w:tc>
        <w:tc>
          <w:tcPr>
            <w:tcW w:w="1206" w:type="dxa"/>
          </w:tcPr>
          <w:p w14:paraId="27BC3D2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  <w:tr w:rsidR="003202F1" w:rsidRPr="00FD71BF" w14:paraId="261B90F5" w14:textId="77777777" w:rsidTr="00FE6F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8" w:type="dxa"/>
          </w:tcPr>
          <w:p w14:paraId="66D0A51F" w14:textId="01E1BD22" w:rsidR="003202F1" w:rsidRPr="00FD71BF" w:rsidRDefault="00AB2A37" w:rsidP="00F5335E">
            <w:pPr>
              <w:pStyle w:val="MDPI42tablebody"/>
              <w:spacing w:line="240" w:lineRule="auto"/>
              <w:jc w:val="both"/>
              <w:rPr>
                <w:rFonts w:cstheme="minorHAnsi"/>
                <w:b w:val="0"/>
                <w:bCs w:val="0"/>
                <w:sz w:val="16"/>
                <w:szCs w:val="16"/>
              </w:rPr>
            </w:pPr>
            <w:r w:rsidRPr="00FD71BF">
              <w:rPr>
                <w:rFonts w:cstheme="minorHAnsi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1580" w:type="dxa"/>
          </w:tcPr>
          <w:p w14:paraId="6D5B7498" w14:textId="7F568F4B" w:rsidR="003202F1" w:rsidRPr="00FD71BF" w:rsidRDefault="003202F1" w:rsidP="008853A1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proofErr w:type="spellStart"/>
            <w:r w:rsidRPr="00FD71BF">
              <w:rPr>
                <w:rFonts w:cstheme="minorHAnsi"/>
                <w:sz w:val="16"/>
                <w:szCs w:val="16"/>
              </w:rPr>
              <w:t>Mário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Ramos et al, 2024[12</w:t>
            </w:r>
            <w:r w:rsidR="008853A1" w:rsidRPr="00FD71BF">
              <w:rPr>
                <w:rFonts w:cstheme="minorHAnsi"/>
                <w:sz w:val="16"/>
                <w:szCs w:val="16"/>
              </w:rPr>
              <w:t>4</w:t>
            </w:r>
            <w:r w:rsidRPr="00FD71BF">
              <w:rPr>
                <w:rFonts w:cstheme="minorHAnsi"/>
                <w:sz w:val="16"/>
                <w:szCs w:val="16"/>
              </w:rPr>
              <w:t>]</w:t>
            </w:r>
            <w:r w:rsidRPr="00FD71BF">
              <w:rPr>
                <w:rFonts w:cstheme="minorHAnsi"/>
                <w:i/>
                <w:sz w:val="16"/>
                <w:szCs w:val="16"/>
              </w:rPr>
              <w:t>,</w:t>
            </w:r>
          </w:p>
        </w:tc>
        <w:tc>
          <w:tcPr>
            <w:tcW w:w="1579" w:type="dxa"/>
          </w:tcPr>
          <w:p w14:paraId="6894DF5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Case study </w:t>
            </w:r>
          </w:p>
        </w:tc>
        <w:tc>
          <w:tcPr>
            <w:tcW w:w="1579" w:type="dxa"/>
          </w:tcPr>
          <w:p w14:paraId="324994E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Selective demolition</w:t>
            </w:r>
          </w:p>
        </w:tc>
        <w:tc>
          <w:tcPr>
            <w:tcW w:w="1481" w:type="dxa"/>
          </w:tcPr>
          <w:p w14:paraId="4BE1480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Portugal</w:t>
            </w:r>
          </w:p>
        </w:tc>
        <w:tc>
          <w:tcPr>
            <w:tcW w:w="1509" w:type="dxa"/>
          </w:tcPr>
          <w:p w14:paraId="1C9497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Building engineering </w:t>
            </w:r>
          </w:p>
        </w:tc>
        <w:tc>
          <w:tcPr>
            <w:tcW w:w="2664" w:type="dxa"/>
          </w:tcPr>
          <w:p w14:paraId="0B9223DF" w14:textId="567E6CF9" w:rsidR="003202F1" w:rsidRPr="00FD71BF" w:rsidRDefault="00C87763" w:rsidP="00C87763">
            <w:pPr>
              <w:pStyle w:val="MDPI42tablebody"/>
              <w:spacing w:line="240" w:lineRule="auto"/>
              <w:ind w:right="7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S</w:t>
            </w:r>
            <w:r w:rsidR="003202F1" w:rsidRPr="00FD71BF">
              <w:rPr>
                <w:rFonts w:cstheme="minorHAnsi"/>
                <w:sz w:val="16"/>
                <w:szCs w:val="16"/>
              </w:rPr>
              <w:t>trategies that boost selective demolition, using a behavioral change approach</w:t>
            </w:r>
          </w:p>
        </w:tc>
        <w:tc>
          <w:tcPr>
            <w:tcW w:w="2700" w:type="dxa"/>
          </w:tcPr>
          <w:p w14:paraId="0076D2CB" w14:textId="414A2642" w:rsidR="003202F1" w:rsidRPr="00FD71BF" w:rsidRDefault="00C87763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dentifying a need to reinforce education and awareness, </w:t>
            </w:r>
            <w:r w:rsidR="00CF671F" w:rsidRPr="00FD71BF">
              <w:rPr>
                <w:rFonts w:cstheme="minorHAnsi"/>
                <w:sz w:val="16"/>
                <w:szCs w:val="16"/>
              </w:rPr>
              <w:t xml:space="preserve">such as </w:t>
            </w:r>
            <w:r w:rsidR="003202F1" w:rsidRPr="00FD71BF">
              <w:rPr>
                <w:rFonts w:cstheme="minorHAnsi"/>
                <w:sz w:val="16"/>
                <w:szCs w:val="16"/>
              </w:rPr>
              <w:t>pre-demolition audit</w:t>
            </w:r>
          </w:p>
        </w:tc>
        <w:tc>
          <w:tcPr>
            <w:tcW w:w="1206" w:type="dxa"/>
          </w:tcPr>
          <w:p w14:paraId="698172B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Knowledge </w:t>
            </w:r>
          </w:p>
        </w:tc>
      </w:tr>
    </w:tbl>
    <w:p w14:paraId="0A94D336" w14:textId="442D079F" w:rsidR="00AB2A37" w:rsidRPr="00FD71BF" w:rsidRDefault="00AB2A37" w:rsidP="00F5335E">
      <w:pPr>
        <w:pStyle w:val="MDPI43tablefooter"/>
        <w:spacing w:line="240" w:lineRule="auto"/>
        <w:rPr>
          <w:rFonts w:cstheme="minorHAnsi"/>
          <w:sz w:val="16"/>
          <w:szCs w:val="16"/>
        </w:rPr>
      </w:pPr>
    </w:p>
    <w:p w14:paraId="0E8A498A" w14:textId="77777777" w:rsidR="00AB2A37" w:rsidRPr="00FD71BF" w:rsidRDefault="00AB2A37" w:rsidP="00F5335E">
      <w:pPr>
        <w:jc w:val="both"/>
        <w:rPr>
          <w:rFonts w:ascii="Palatino Linotype" w:eastAsia="Times New Roman" w:hAnsi="Palatino Linotype" w:cstheme="minorHAnsi"/>
          <w:color w:val="000000"/>
          <w:sz w:val="16"/>
          <w:szCs w:val="16"/>
          <w:lang w:eastAsia="de-DE" w:bidi="en-US"/>
        </w:rPr>
      </w:pPr>
      <w:r w:rsidRPr="00FD71BF">
        <w:rPr>
          <w:rFonts w:ascii="Palatino Linotype" w:hAnsi="Palatino Linotype" w:cstheme="minorHAnsi"/>
          <w:sz w:val="16"/>
          <w:szCs w:val="16"/>
        </w:rPr>
        <w:br w:type="page"/>
      </w:r>
    </w:p>
    <w:p w14:paraId="3BFBC122" w14:textId="77777777" w:rsidR="003202F1" w:rsidRPr="00FD71BF" w:rsidRDefault="003202F1" w:rsidP="00F5335E">
      <w:pPr>
        <w:pStyle w:val="MDPI43tablefooter"/>
        <w:spacing w:line="240" w:lineRule="auto"/>
        <w:rPr>
          <w:rFonts w:cstheme="minorHAnsi"/>
          <w:sz w:val="16"/>
          <w:szCs w:val="16"/>
        </w:rPr>
      </w:pPr>
    </w:p>
    <w:tbl>
      <w:tblPr>
        <w:tblStyle w:val="PlainTable21"/>
        <w:tblW w:w="1448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50"/>
        <w:gridCol w:w="1320"/>
        <w:gridCol w:w="1526"/>
        <w:gridCol w:w="1354"/>
        <w:gridCol w:w="2593"/>
        <w:gridCol w:w="1973"/>
        <w:gridCol w:w="2202"/>
        <w:gridCol w:w="2766"/>
      </w:tblGrid>
      <w:tr w:rsidR="003202F1" w:rsidRPr="00FD71BF" w14:paraId="29F5D6FE" w14:textId="77777777" w:rsidTr="00E700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A7767AE" w14:textId="77777777" w:rsidR="003202F1" w:rsidRPr="00FD71BF" w:rsidRDefault="003202F1" w:rsidP="00F5335E">
            <w:pPr>
              <w:pStyle w:val="MDPI42tablebody"/>
              <w:tabs>
                <w:tab w:val="left" w:pos="1208"/>
              </w:tabs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Tier </w:t>
            </w:r>
          </w:p>
        </w:tc>
        <w:tc>
          <w:tcPr>
            <w:tcW w:w="1320" w:type="dxa"/>
          </w:tcPr>
          <w:p w14:paraId="21D1465E" w14:textId="77777777" w:rsidR="003202F1" w:rsidRPr="00FD71BF" w:rsidRDefault="003202F1" w:rsidP="00F5335E">
            <w:pPr>
              <w:pStyle w:val="MDPI42tablebody"/>
              <w:tabs>
                <w:tab w:val="left" w:pos="1208"/>
              </w:tabs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Trajectory </w:t>
            </w:r>
          </w:p>
        </w:tc>
        <w:tc>
          <w:tcPr>
            <w:tcW w:w="1526" w:type="dxa"/>
          </w:tcPr>
          <w:p w14:paraId="74855AEA" w14:textId="77777777" w:rsidR="003202F1" w:rsidRPr="00FD71BF" w:rsidRDefault="003202F1" w:rsidP="00F5335E">
            <w:pPr>
              <w:pStyle w:val="MDPI42tablebody"/>
              <w:tabs>
                <w:tab w:val="left" w:pos="1208"/>
              </w:tabs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Dimension</w:t>
            </w:r>
          </w:p>
        </w:tc>
        <w:tc>
          <w:tcPr>
            <w:tcW w:w="1354" w:type="dxa"/>
          </w:tcPr>
          <w:p w14:paraId="3AFDA9E3" w14:textId="77777777" w:rsidR="003202F1" w:rsidRPr="00FD71BF" w:rsidRDefault="003202F1" w:rsidP="00F5335E">
            <w:pPr>
              <w:pStyle w:val="MDPI42tablebody"/>
              <w:tabs>
                <w:tab w:val="left" w:pos="1208"/>
              </w:tabs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arena </w:t>
            </w:r>
          </w:p>
        </w:tc>
        <w:tc>
          <w:tcPr>
            <w:tcW w:w="2593" w:type="dxa"/>
          </w:tcPr>
          <w:p w14:paraId="306B2C1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Research focus</w:t>
            </w:r>
          </w:p>
        </w:tc>
        <w:tc>
          <w:tcPr>
            <w:tcW w:w="1973" w:type="dxa"/>
          </w:tcPr>
          <w:p w14:paraId="1A86C11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Interdisciplinary aspect </w:t>
            </w:r>
          </w:p>
        </w:tc>
        <w:tc>
          <w:tcPr>
            <w:tcW w:w="2202" w:type="dxa"/>
          </w:tcPr>
          <w:p w14:paraId="3EAAC10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approach  </w:t>
            </w:r>
          </w:p>
        </w:tc>
        <w:tc>
          <w:tcPr>
            <w:tcW w:w="2766" w:type="dxa"/>
          </w:tcPr>
          <w:p w14:paraId="54AA770F" w14:textId="77777777" w:rsidR="00C87763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Intended outcome  </w:t>
            </w:r>
          </w:p>
          <w:p w14:paraId="37BB5D44" w14:textId="2AA6666C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  </w:t>
            </w:r>
          </w:p>
        </w:tc>
      </w:tr>
      <w:tr w:rsidR="003202F1" w:rsidRPr="00FD71BF" w14:paraId="4478E56A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745873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level </w:t>
            </w:r>
          </w:p>
        </w:tc>
        <w:tc>
          <w:tcPr>
            <w:tcW w:w="1320" w:type="dxa"/>
          </w:tcPr>
          <w:p w14:paraId="21614AFC" w14:textId="44F59660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Regulatory </w:t>
            </w:r>
            <w:r w:rsidR="00DA0E8A" w:rsidRPr="00FD71BF">
              <w:rPr>
                <w:rFonts w:cstheme="minorHAnsi"/>
                <w:sz w:val="16"/>
                <w:szCs w:val="16"/>
              </w:rPr>
              <w:t>Frameworks and Incentives</w:t>
            </w:r>
          </w:p>
        </w:tc>
        <w:tc>
          <w:tcPr>
            <w:tcW w:w="1526" w:type="dxa"/>
          </w:tcPr>
          <w:p w14:paraId="2C865EA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  <w:tc>
          <w:tcPr>
            <w:tcW w:w="1354" w:type="dxa"/>
          </w:tcPr>
          <w:p w14:paraId="39E9A32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Regulatory Frameworks </w:t>
            </w:r>
          </w:p>
        </w:tc>
        <w:tc>
          <w:tcPr>
            <w:tcW w:w="2593" w:type="dxa"/>
          </w:tcPr>
          <w:p w14:paraId="5324E66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current regulations to identify gaps and opportunities for promoting circular construction.</w:t>
            </w:r>
          </w:p>
        </w:tc>
        <w:tc>
          <w:tcPr>
            <w:tcW w:w="1973" w:type="dxa"/>
          </w:tcPr>
          <w:p w14:paraId="49A727E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Involves collaboration between political scientists, economists, environmental scientists, and legal experts</w:t>
            </w:r>
          </w:p>
        </w:tc>
        <w:tc>
          <w:tcPr>
            <w:tcW w:w="2202" w:type="dxa"/>
          </w:tcPr>
          <w:p w14:paraId="2CB37F4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Comparative analysis of case studies of regions with advanced circular construction policies.</w:t>
            </w:r>
          </w:p>
        </w:tc>
        <w:tc>
          <w:tcPr>
            <w:tcW w:w="2766" w:type="dxa"/>
          </w:tcPr>
          <w:p w14:paraId="7D2661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Evidence-based policy recommendations for governments and regulatory bodies to promote circular construction. </w:t>
            </w:r>
          </w:p>
        </w:tc>
      </w:tr>
      <w:tr w:rsidR="003202F1" w:rsidRPr="00FD71BF" w14:paraId="116E944B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6D05FE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9F3240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FBA446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47DF538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Incentive Schemes</w:t>
            </w:r>
          </w:p>
        </w:tc>
        <w:tc>
          <w:tcPr>
            <w:tcW w:w="2593" w:type="dxa"/>
          </w:tcPr>
          <w:p w14:paraId="5D9329CB" w14:textId="5BE686D1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and evaluate financial and non-financial incentives that encourage circular practices.</w:t>
            </w:r>
          </w:p>
        </w:tc>
        <w:tc>
          <w:tcPr>
            <w:tcW w:w="1973" w:type="dxa"/>
          </w:tcPr>
          <w:p w14:paraId="71B737D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1CE6574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 modeling, stakeholder surveys, and policy simulation to test the impact of different incentive structures</w:t>
            </w:r>
          </w:p>
        </w:tc>
        <w:tc>
          <w:tcPr>
            <w:tcW w:w="2766" w:type="dxa"/>
          </w:tcPr>
          <w:p w14:paraId="4BAEF15F" w14:textId="327ABA70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Incentive schemes that can be implemented at local, regional, or national levels to </w:t>
            </w:r>
            <w:r w:rsidR="00DA0E8A" w:rsidRPr="00FD71BF">
              <w:rPr>
                <w:rFonts w:cstheme="minorHAnsi"/>
                <w:sz w:val="16"/>
                <w:szCs w:val="16"/>
              </w:rPr>
              <w:t xml:space="preserve">promote </w:t>
            </w:r>
            <w:r w:rsidRPr="00FD71BF">
              <w:rPr>
                <w:rFonts w:cstheme="minorHAnsi"/>
                <w:sz w:val="16"/>
                <w:szCs w:val="16"/>
              </w:rPr>
              <w:t xml:space="preserve">circular practices </w:t>
            </w:r>
          </w:p>
        </w:tc>
      </w:tr>
      <w:tr w:rsidR="003202F1" w:rsidRPr="00FD71BF" w14:paraId="4CEBFC10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A3BBF5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1291C8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6137C39A" w14:textId="77777777" w:rsidR="003202F1" w:rsidRPr="00FD71BF" w:rsidRDefault="003202F1" w:rsidP="00F5335E">
            <w:pPr>
              <w:pStyle w:val="MDPI42tablebody"/>
              <w:tabs>
                <w:tab w:val="left" w:pos="852"/>
              </w:tabs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3357C802" w14:textId="77777777" w:rsidR="003202F1" w:rsidRPr="00FD71BF" w:rsidRDefault="003202F1" w:rsidP="00F5335E">
            <w:pPr>
              <w:pStyle w:val="MDPI42tablebody"/>
              <w:tabs>
                <w:tab w:val="left" w:pos="852"/>
              </w:tabs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Lifecycle Assessment and Cost-Benefit Analysis</w:t>
            </w:r>
          </w:p>
        </w:tc>
        <w:tc>
          <w:tcPr>
            <w:tcW w:w="2593" w:type="dxa"/>
          </w:tcPr>
          <w:p w14:paraId="49A0BF21" w14:textId="271ADE28" w:rsidR="003202F1" w:rsidRPr="00FD71BF" w:rsidRDefault="00DA0E8A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Evaluate 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environmental and </w:t>
            </w:r>
            <w:r w:rsidR="00CF671F" w:rsidRPr="00FD71BF">
              <w:rPr>
                <w:rFonts w:cstheme="minorHAnsi"/>
                <w:sz w:val="16"/>
                <w:szCs w:val="16"/>
              </w:rPr>
              <w:t>economic benefits of circular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practices compared to traditional methods.</w:t>
            </w:r>
          </w:p>
        </w:tc>
        <w:tc>
          <w:tcPr>
            <w:tcW w:w="1973" w:type="dxa"/>
          </w:tcPr>
          <w:p w14:paraId="36D13C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141D943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Use lifecycle assessment (LCA) tools and cost-benefit analysis (CBA) to quantify the benefits of circular construction.</w:t>
            </w:r>
          </w:p>
        </w:tc>
        <w:tc>
          <w:tcPr>
            <w:tcW w:w="2766" w:type="dxa"/>
          </w:tcPr>
          <w:p w14:paraId="4DCD02A9" w14:textId="6CC1C2CF" w:rsidR="003202F1" w:rsidRPr="00FD71BF" w:rsidRDefault="003202F1" w:rsidP="001B7ED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Best Practice Frameworks, toolkits and guidelines that integrate </w:t>
            </w:r>
            <w:r w:rsidR="001B7ED7" w:rsidRPr="00FD71BF">
              <w:rPr>
                <w:rFonts w:cstheme="minorHAnsi"/>
                <w:sz w:val="16"/>
                <w:szCs w:val="16"/>
              </w:rPr>
              <w:t xml:space="preserve">LCA into </w:t>
            </w:r>
            <w:r w:rsidRPr="00FD71BF">
              <w:rPr>
                <w:rFonts w:cstheme="minorHAnsi"/>
                <w:sz w:val="16"/>
                <w:szCs w:val="16"/>
              </w:rPr>
              <w:t xml:space="preserve">circular economy principles </w:t>
            </w:r>
          </w:p>
        </w:tc>
      </w:tr>
      <w:tr w:rsidR="003202F1" w:rsidRPr="00FD71BF" w14:paraId="73D29215" w14:textId="77777777" w:rsidTr="00551AD6">
        <w:trPr>
          <w:trHeight w:val="11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1431D68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6FF649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EC2B82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Social and Integration </w:t>
            </w:r>
          </w:p>
        </w:tc>
        <w:tc>
          <w:tcPr>
            <w:tcW w:w="1354" w:type="dxa"/>
          </w:tcPr>
          <w:p w14:paraId="2F1F1B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Stakeholder Engagement </w:t>
            </w:r>
          </w:p>
        </w:tc>
        <w:tc>
          <w:tcPr>
            <w:tcW w:w="2593" w:type="dxa"/>
          </w:tcPr>
          <w:p w14:paraId="5765BF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mechanisms for effective stakeholder engagement in the development and implementation of circular construction policies.</w:t>
            </w:r>
          </w:p>
        </w:tc>
        <w:tc>
          <w:tcPr>
            <w:tcW w:w="1973" w:type="dxa"/>
          </w:tcPr>
          <w:p w14:paraId="7572080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32AB71F4" w14:textId="4CC2309F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Qualitative research methods such as Delphi studies.</w:t>
            </w:r>
          </w:p>
        </w:tc>
        <w:tc>
          <w:tcPr>
            <w:tcW w:w="2766" w:type="dxa"/>
          </w:tcPr>
          <w:p w14:paraId="77E3A8E0" w14:textId="498567EF" w:rsidR="003202F1" w:rsidRPr="00FD71BF" w:rsidRDefault="003202F1" w:rsidP="00551AD6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Strategies for engaging stakeholders in the policy development to ensure that regulations and incentives are practical and widely supported.</w:t>
            </w:r>
            <w:r w:rsidRPr="00FD71BF">
              <w:rPr>
                <w:rFonts w:cstheme="minorHAnsi"/>
                <w:sz w:val="16"/>
                <w:szCs w:val="16"/>
              </w:rPr>
              <w:tab/>
            </w:r>
          </w:p>
        </w:tc>
      </w:tr>
      <w:tr w:rsidR="003202F1" w:rsidRPr="00FD71BF" w14:paraId="6024A546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03B217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77EE8F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Urban Planning and Circular Economy Integration</w:t>
            </w:r>
          </w:p>
        </w:tc>
        <w:tc>
          <w:tcPr>
            <w:tcW w:w="1526" w:type="dxa"/>
          </w:tcPr>
          <w:p w14:paraId="4ABBD1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Economic and Social  </w:t>
            </w:r>
          </w:p>
        </w:tc>
        <w:tc>
          <w:tcPr>
            <w:tcW w:w="1354" w:type="dxa"/>
          </w:tcPr>
          <w:p w14:paraId="224FB59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of Circular Economy Principles in Urban Planning</w:t>
            </w:r>
          </w:p>
        </w:tc>
        <w:tc>
          <w:tcPr>
            <w:tcW w:w="2593" w:type="dxa"/>
          </w:tcPr>
          <w:p w14:paraId="66F641D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how circular economy principles can be embedded into urban planning policies and practices to promote circular construction.</w:t>
            </w:r>
          </w:p>
        </w:tc>
        <w:tc>
          <w:tcPr>
            <w:tcW w:w="1973" w:type="dxa"/>
          </w:tcPr>
          <w:p w14:paraId="1048A2BC" w14:textId="77777777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Collaboration between urban planners, environmental scientists, sociologists, and economists.</w:t>
            </w:r>
          </w:p>
        </w:tc>
        <w:tc>
          <w:tcPr>
            <w:tcW w:w="2202" w:type="dxa"/>
          </w:tcPr>
          <w:p w14:paraId="4D97C0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Examine case studies of cities that have successfully integrated circular economy principles into their planning processes.</w:t>
            </w:r>
          </w:p>
        </w:tc>
        <w:tc>
          <w:tcPr>
            <w:tcW w:w="2766" w:type="dxa"/>
          </w:tcPr>
          <w:p w14:paraId="51C726B4" w14:textId="0FE72F54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Best Practice Guidelines for urban planners to integrate circular economy principles into urban planning and provide examples of successful projects and strategies for overcoming challenges.</w:t>
            </w:r>
          </w:p>
        </w:tc>
      </w:tr>
      <w:tr w:rsidR="003202F1" w:rsidRPr="00FD71BF" w14:paraId="67F6F875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8E55F1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27F094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E9464C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0DEAFA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 Urban Design and Infrastructure</w:t>
            </w:r>
          </w:p>
        </w:tc>
        <w:tc>
          <w:tcPr>
            <w:tcW w:w="2593" w:type="dxa"/>
          </w:tcPr>
          <w:p w14:paraId="0A9F1378" w14:textId="3496A7E6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design of urban spaces and infrastructure that support circular construction practices, such as modular buildings, adaptive reus</w:t>
            </w:r>
            <w:r w:rsidR="00DA0E8A" w:rsidRPr="00FD71BF">
              <w:rPr>
                <w:rFonts w:cstheme="minorHAnsi"/>
                <w:sz w:val="16"/>
                <w:szCs w:val="16"/>
              </w:rPr>
              <w:t xml:space="preserve">e, and decentralized recycling </w:t>
            </w:r>
          </w:p>
        </w:tc>
        <w:tc>
          <w:tcPr>
            <w:tcW w:w="1973" w:type="dxa"/>
          </w:tcPr>
          <w:p w14:paraId="13BA8F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7721ED7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Study existing urban design projects that incorporate circular principles and evaluate their performance.</w:t>
            </w:r>
          </w:p>
        </w:tc>
        <w:tc>
          <w:tcPr>
            <w:tcW w:w="2766" w:type="dxa"/>
          </w:tcPr>
          <w:p w14:paraId="36F71C5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Specific policy changes or new regulations to support circular construction in urban areas and roadmap for local governments to implement these policies effectively.</w:t>
            </w:r>
          </w:p>
          <w:p w14:paraId="6B9FAE84" w14:textId="77777777" w:rsidR="00DA0E8A" w:rsidRPr="00FD71BF" w:rsidRDefault="00DA0E8A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34210CAC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8A6A01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B59127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3260CD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  <w:tc>
          <w:tcPr>
            <w:tcW w:w="1354" w:type="dxa"/>
          </w:tcPr>
          <w:p w14:paraId="05C8459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 Frameworks</w:t>
            </w:r>
          </w:p>
        </w:tc>
        <w:tc>
          <w:tcPr>
            <w:tcW w:w="2593" w:type="dxa"/>
          </w:tcPr>
          <w:p w14:paraId="6F227A6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policy recommendations for urban planners and local governments to support circular construction</w:t>
            </w:r>
          </w:p>
        </w:tc>
        <w:tc>
          <w:tcPr>
            <w:tcW w:w="1973" w:type="dxa"/>
          </w:tcPr>
          <w:p w14:paraId="18BDFB3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B5B18F7" w14:textId="2D412361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existing policies and regulations, and identify gaps and opportunities f</w:t>
            </w:r>
            <w:r w:rsidR="00DA0E8A" w:rsidRPr="00FD71BF">
              <w:rPr>
                <w:rFonts w:cstheme="minorHAnsi"/>
                <w:sz w:val="16"/>
                <w:szCs w:val="16"/>
              </w:rPr>
              <w:t xml:space="preserve">or circular practices in urban </w:t>
            </w:r>
            <w:r w:rsidRPr="00FD71BF">
              <w:rPr>
                <w:rFonts w:cstheme="minorHAnsi"/>
                <w:sz w:val="16"/>
                <w:szCs w:val="16"/>
              </w:rPr>
              <w:t>planning.</w:t>
            </w:r>
          </w:p>
        </w:tc>
        <w:tc>
          <w:tcPr>
            <w:tcW w:w="2766" w:type="dxa"/>
          </w:tcPr>
          <w:p w14:paraId="00D9871D" w14:textId="65C8FB5F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Strategies for engaging stakeholders in planning and implementation of circular townships.</w:t>
            </w:r>
          </w:p>
        </w:tc>
      </w:tr>
      <w:tr w:rsidR="003202F1" w:rsidRPr="00FD71BF" w14:paraId="1B87A6BA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2EFF19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A14CB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0ADC06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Social and Integration</w:t>
            </w:r>
          </w:p>
        </w:tc>
        <w:tc>
          <w:tcPr>
            <w:tcW w:w="1354" w:type="dxa"/>
          </w:tcPr>
          <w:p w14:paraId="3603025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Stakeholder Engagement and Collaboration:</w:t>
            </w:r>
          </w:p>
        </w:tc>
        <w:tc>
          <w:tcPr>
            <w:tcW w:w="2593" w:type="dxa"/>
          </w:tcPr>
          <w:p w14:paraId="2C7CFB8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Investigate methods for engaging stakeholders (e.g., government, private sector, community) in the planning and implementation of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circular construction projects.</w:t>
            </w:r>
          </w:p>
        </w:tc>
        <w:tc>
          <w:tcPr>
            <w:tcW w:w="1973" w:type="dxa"/>
          </w:tcPr>
          <w:p w14:paraId="51CA278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535C77A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Conduct qualitative research to understand stakeholder perspectives and identify best practices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for collaboration.</w:t>
            </w:r>
          </w:p>
        </w:tc>
        <w:tc>
          <w:tcPr>
            <w:tcW w:w="2766" w:type="dxa"/>
          </w:tcPr>
          <w:p w14:paraId="1D6758A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>Tools and metrics for evaluating the environmental, economic, and social impacts of circular construction practices.</w:t>
            </w:r>
          </w:p>
          <w:p w14:paraId="20C0B25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</w:tr>
      <w:tr w:rsidR="003202F1" w:rsidRPr="00FD71BF" w14:paraId="63578607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E13FA9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F818EE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4855280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 and Social</w:t>
            </w:r>
          </w:p>
        </w:tc>
        <w:tc>
          <w:tcPr>
            <w:tcW w:w="1354" w:type="dxa"/>
          </w:tcPr>
          <w:p w14:paraId="05ECD5F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Metrics and Evaluation Tools</w:t>
            </w:r>
          </w:p>
        </w:tc>
        <w:tc>
          <w:tcPr>
            <w:tcW w:w="2593" w:type="dxa"/>
          </w:tcPr>
          <w:p w14:paraId="69D9BE5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and validate metrics and tools to evaluate the effectiveness of circular construction practices in urban environments.</w:t>
            </w:r>
          </w:p>
        </w:tc>
        <w:tc>
          <w:tcPr>
            <w:tcW w:w="1973" w:type="dxa"/>
          </w:tcPr>
          <w:p w14:paraId="61673C3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507DB716" w14:textId="41067F0F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Create and test evaluation frameworks that measure environmental, economic, and social impacts </w:t>
            </w:r>
          </w:p>
        </w:tc>
        <w:tc>
          <w:tcPr>
            <w:tcW w:w="2766" w:type="dxa"/>
          </w:tcPr>
          <w:p w14:paraId="01E5AE2C" w14:textId="65056D17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Pilot projects that demonstrate the integration of circular principles in u</w:t>
            </w:r>
            <w:r w:rsidR="00CF671F" w:rsidRPr="00FD71BF">
              <w:rPr>
                <w:rFonts w:cstheme="minorHAnsi"/>
                <w:sz w:val="16"/>
                <w:szCs w:val="16"/>
              </w:rPr>
              <w:t>rban planning and construction</w:t>
            </w:r>
          </w:p>
        </w:tc>
      </w:tr>
      <w:tr w:rsidR="003202F1" w:rsidRPr="00FD71BF" w14:paraId="2274B3B0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2FBDB5A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BEEA2D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International Collaboration and Knowledge Transfer</w:t>
            </w:r>
          </w:p>
        </w:tc>
        <w:tc>
          <w:tcPr>
            <w:tcW w:w="1526" w:type="dxa"/>
          </w:tcPr>
          <w:p w14:paraId="2CEA8792" w14:textId="0B5AAD8E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Social and </w:t>
            </w:r>
            <w:r w:rsidR="00DA0E8A" w:rsidRPr="00FD71BF">
              <w:rPr>
                <w:rFonts w:cstheme="minorHAnsi"/>
                <w:sz w:val="16"/>
                <w:szCs w:val="16"/>
              </w:rPr>
              <w:t>Integration</w:t>
            </w:r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354" w:type="dxa"/>
          </w:tcPr>
          <w:p w14:paraId="3C5FC7F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Mechanisms for International Collaboration</w:t>
            </w:r>
          </w:p>
        </w:tc>
        <w:tc>
          <w:tcPr>
            <w:tcW w:w="2593" w:type="dxa"/>
          </w:tcPr>
          <w:p w14:paraId="418796C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effective mechanisms and platforms for international collaboration in circular construction.</w:t>
            </w:r>
          </w:p>
        </w:tc>
        <w:tc>
          <w:tcPr>
            <w:tcW w:w="1973" w:type="dxa"/>
          </w:tcPr>
          <w:p w14:paraId="09B09C7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Involves political science, international relations, engineering, and business management.</w:t>
            </w:r>
          </w:p>
        </w:tc>
        <w:tc>
          <w:tcPr>
            <w:tcW w:w="2202" w:type="dxa"/>
          </w:tcPr>
          <w:p w14:paraId="576FA6A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existing international collaborations and identify key factors for success.</w:t>
            </w:r>
          </w:p>
        </w:tc>
        <w:tc>
          <w:tcPr>
            <w:tcW w:w="2766" w:type="dxa"/>
          </w:tcPr>
          <w:p w14:paraId="7159F0B8" w14:textId="2A855E87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best practices and guidelines for effective international collaboration and knowledge transfer in circular construction and provide examples of successful initiatives</w:t>
            </w:r>
          </w:p>
        </w:tc>
      </w:tr>
      <w:tr w:rsidR="003202F1" w:rsidRPr="00FD71BF" w14:paraId="1EA19030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21E2F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B18817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462B053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and implementation</w:t>
            </w:r>
          </w:p>
        </w:tc>
        <w:tc>
          <w:tcPr>
            <w:tcW w:w="1354" w:type="dxa"/>
          </w:tcPr>
          <w:p w14:paraId="7B7348F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Knowledge Transfer Practices</w:t>
            </w:r>
          </w:p>
        </w:tc>
        <w:tc>
          <w:tcPr>
            <w:tcW w:w="2593" w:type="dxa"/>
          </w:tcPr>
          <w:p w14:paraId="10C445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methods for transferring knowledge and best practices in circular construction across different countries and regions.</w:t>
            </w:r>
          </w:p>
        </w:tc>
        <w:tc>
          <w:tcPr>
            <w:tcW w:w="1973" w:type="dxa"/>
          </w:tcPr>
          <w:p w14:paraId="54B71B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0F95771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Study successful case studies of knowledge transfer in the construction sector and other industries</w:t>
            </w:r>
          </w:p>
        </w:tc>
        <w:tc>
          <w:tcPr>
            <w:tcW w:w="2766" w:type="dxa"/>
          </w:tcPr>
          <w:p w14:paraId="7405D3F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 changes or new frameworks to support international collaboration and knowledge transfer.</w:t>
            </w:r>
          </w:p>
        </w:tc>
      </w:tr>
      <w:tr w:rsidR="003202F1" w:rsidRPr="00FD71BF" w14:paraId="5637BD9F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72532D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91B4A4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6FE45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and implementation</w:t>
            </w:r>
          </w:p>
        </w:tc>
        <w:tc>
          <w:tcPr>
            <w:tcW w:w="1354" w:type="dxa"/>
          </w:tcPr>
          <w:p w14:paraId="33C34E7E" w14:textId="46CDC413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Barriers to Colla</w:t>
            </w:r>
            <w:r w:rsidR="00DA0E8A" w:rsidRPr="00FD71BF">
              <w:rPr>
                <w:rFonts w:cstheme="minorHAnsi"/>
                <w:sz w:val="16"/>
                <w:szCs w:val="16"/>
              </w:rPr>
              <w:t>boration and Knowledge Transfer</w:t>
            </w:r>
          </w:p>
        </w:tc>
        <w:tc>
          <w:tcPr>
            <w:tcW w:w="2593" w:type="dxa"/>
          </w:tcPr>
          <w:p w14:paraId="66A7196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Identify and address barriers to effective international collaboration and knowledge transfer.</w:t>
            </w:r>
          </w:p>
        </w:tc>
        <w:tc>
          <w:tcPr>
            <w:tcW w:w="1973" w:type="dxa"/>
          </w:tcPr>
          <w:p w14:paraId="3386784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8C04EC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surveys and interviews with stakeholders to explore common challenges and propose solutions.</w:t>
            </w:r>
          </w:p>
        </w:tc>
        <w:tc>
          <w:tcPr>
            <w:tcW w:w="2766" w:type="dxa"/>
          </w:tcPr>
          <w:p w14:paraId="12475941" w14:textId="48747409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Collaborative </w:t>
            </w:r>
            <w:r w:rsidR="00E700D9" w:rsidRPr="00FD71BF">
              <w:rPr>
                <w:rFonts w:cstheme="minorHAnsi"/>
                <w:sz w:val="16"/>
                <w:szCs w:val="16"/>
              </w:rPr>
              <w:t>p</w:t>
            </w:r>
            <w:r w:rsidRPr="00FD71BF">
              <w:rPr>
                <w:rFonts w:cstheme="minorHAnsi"/>
                <w:sz w:val="16"/>
                <w:szCs w:val="16"/>
              </w:rPr>
              <w:t>latforms and Networks that facilitate international collaboration and knowledge sharing</w:t>
            </w:r>
            <w:r w:rsidR="00CF671F" w:rsidRPr="00FD71BF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3202F1" w:rsidRPr="00FD71BF" w14:paraId="54BD7320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37260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5F2524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C4BAB2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and implementation</w:t>
            </w:r>
          </w:p>
        </w:tc>
        <w:tc>
          <w:tcPr>
            <w:tcW w:w="1354" w:type="dxa"/>
          </w:tcPr>
          <w:p w14:paraId="7DF137C6" w14:textId="4D8E9204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Role of International </w:t>
            </w:r>
            <w:r w:rsidR="00E700D9" w:rsidRPr="00FD71BF">
              <w:rPr>
                <w:rFonts w:cstheme="minorHAnsi"/>
                <w:sz w:val="16"/>
                <w:szCs w:val="16"/>
              </w:rPr>
              <w:t>entities</w:t>
            </w:r>
          </w:p>
        </w:tc>
        <w:tc>
          <w:tcPr>
            <w:tcW w:w="2593" w:type="dxa"/>
          </w:tcPr>
          <w:p w14:paraId="29F5B40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Examine the role of international organizations (e.g., UN, EU, World Bank) in promoting circular construction.</w:t>
            </w:r>
          </w:p>
        </w:tc>
        <w:tc>
          <w:tcPr>
            <w:tcW w:w="1973" w:type="dxa"/>
          </w:tcPr>
          <w:p w14:paraId="5207FED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17C8E5A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the initiatives and programs led by these organizations and assess their impact.</w:t>
            </w:r>
          </w:p>
        </w:tc>
        <w:tc>
          <w:tcPr>
            <w:tcW w:w="2766" w:type="dxa"/>
          </w:tcPr>
          <w:p w14:paraId="111E5C09" w14:textId="0556DA70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Capacity </w:t>
            </w:r>
            <w:r w:rsidR="00E700D9" w:rsidRPr="00FD71BF">
              <w:rPr>
                <w:rFonts w:cstheme="minorHAnsi"/>
                <w:sz w:val="16"/>
                <w:szCs w:val="16"/>
              </w:rPr>
              <w:t>b</w:t>
            </w:r>
            <w:r w:rsidRPr="00FD71BF">
              <w:rPr>
                <w:rFonts w:cstheme="minorHAnsi"/>
                <w:sz w:val="16"/>
                <w:szCs w:val="16"/>
              </w:rPr>
              <w:t>uilding Programs to support knowledge transfer and skill development in circular construction.</w:t>
            </w:r>
          </w:p>
        </w:tc>
      </w:tr>
      <w:tr w:rsidR="003202F1" w:rsidRPr="00FD71BF" w14:paraId="2C9EBDF8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2F672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39D580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064750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78D9B9F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Technological and Digital Tools:</w:t>
            </w:r>
          </w:p>
        </w:tc>
        <w:tc>
          <w:tcPr>
            <w:tcW w:w="2593" w:type="dxa"/>
          </w:tcPr>
          <w:p w14:paraId="53BFE02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Assess the role of technological and digital tools in facilitating international collaboration and knowledge transfer.</w:t>
            </w:r>
          </w:p>
        </w:tc>
        <w:tc>
          <w:tcPr>
            <w:tcW w:w="1973" w:type="dxa"/>
          </w:tcPr>
          <w:p w14:paraId="0306B3E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33304AD5" w14:textId="18C9CDE0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Explore the use of platforms such as Building Information Modeling (BIM), digital twins, and online </w:t>
            </w:r>
            <w:r w:rsidR="00CF671F" w:rsidRPr="00FD71BF">
              <w:rPr>
                <w:rFonts w:cstheme="minorHAnsi"/>
                <w:sz w:val="16"/>
                <w:szCs w:val="16"/>
              </w:rPr>
              <w:t>platforms</w:t>
            </w:r>
            <w:r w:rsidRPr="00FD71BF">
              <w:rPr>
                <w:rFonts w:cstheme="minorHAnsi"/>
                <w:sz w:val="16"/>
                <w:szCs w:val="16"/>
              </w:rPr>
              <w:t>.</w:t>
            </w:r>
          </w:p>
        </w:tc>
        <w:tc>
          <w:tcPr>
            <w:tcW w:w="2766" w:type="dxa"/>
          </w:tcPr>
          <w:p w14:paraId="5EB3A3C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Pilot Projects and Demonstrations for successful international collaboration and knowledge transfer.</w:t>
            </w:r>
          </w:p>
        </w:tc>
      </w:tr>
      <w:tr w:rsidR="003202F1" w:rsidRPr="00FD71BF" w14:paraId="02A9407A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60EAA12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Firm level </w:t>
            </w:r>
          </w:p>
        </w:tc>
        <w:tc>
          <w:tcPr>
            <w:tcW w:w="1320" w:type="dxa"/>
          </w:tcPr>
          <w:p w14:paraId="2435D2C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Business Models and Financial Viability</w:t>
            </w:r>
          </w:p>
        </w:tc>
        <w:tc>
          <w:tcPr>
            <w:tcW w:w="1526" w:type="dxa"/>
          </w:tcPr>
          <w:p w14:paraId="3FE4D6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Economic and Financial </w:t>
            </w:r>
          </w:p>
        </w:tc>
        <w:tc>
          <w:tcPr>
            <w:tcW w:w="1354" w:type="dxa"/>
          </w:tcPr>
          <w:p w14:paraId="490D246F" w14:textId="76B2FE40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</w:t>
            </w:r>
            <w:r w:rsidR="00E700D9" w:rsidRPr="00FD71BF">
              <w:rPr>
                <w:rFonts w:cstheme="minorHAnsi"/>
                <w:sz w:val="16"/>
                <w:szCs w:val="16"/>
              </w:rPr>
              <w:t>sis of Existing Business Models</w:t>
            </w:r>
          </w:p>
        </w:tc>
        <w:tc>
          <w:tcPr>
            <w:tcW w:w="2593" w:type="dxa"/>
          </w:tcPr>
          <w:p w14:paraId="183B91E4" w14:textId="0AD0B720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Evaluate effectiveness of current business models in supporting circular construction practices.</w:t>
            </w:r>
          </w:p>
        </w:tc>
        <w:tc>
          <w:tcPr>
            <w:tcW w:w="1973" w:type="dxa"/>
          </w:tcPr>
          <w:p w14:paraId="405889F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Combines business management, economics, engineering, and sustainability studies.</w:t>
            </w:r>
          </w:p>
        </w:tc>
        <w:tc>
          <w:tcPr>
            <w:tcW w:w="2202" w:type="dxa"/>
          </w:tcPr>
          <w:p w14:paraId="1FB1435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case studies of construction firms that have successfully implemented circular business models.</w:t>
            </w:r>
          </w:p>
        </w:tc>
        <w:tc>
          <w:tcPr>
            <w:tcW w:w="2766" w:type="dxa"/>
          </w:tcPr>
          <w:p w14:paraId="6E71111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Portfolio of innovative business models that promote circularity in construction while addressing financial constraints and guidance on the scaling of these models in different contexts.</w:t>
            </w:r>
          </w:p>
        </w:tc>
      </w:tr>
      <w:tr w:rsidR="003202F1" w:rsidRPr="00FD71BF" w14:paraId="1922D4D6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21B46E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B7B3FA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2456AD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5C219C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Development of New Business Models</w:t>
            </w:r>
          </w:p>
        </w:tc>
        <w:tc>
          <w:tcPr>
            <w:tcW w:w="2593" w:type="dxa"/>
          </w:tcPr>
          <w:p w14:paraId="108CB34B" w14:textId="2446F30F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 innovative business models that promote circularity in construction whi</w:t>
            </w:r>
            <w:r w:rsidR="00E700D9" w:rsidRPr="00FD71BF">
              <w:rPr>
                <w:rFonts w:cstheme="minorHAnsi"/>
                <w:sz w:val="16"/>
                <w:szCs w:val="16"/>
              </w:rPr>
              <w:t>le ensuring financial viability</w:t>
            </w:r>
          </w:p>
        </w:tc>
        <w:tc>
          <w:tcPr>
            <w:tcW w:w="1973" w:type="dxa"/>
          </w:tcPr>
          <w:p w14:paraId="00C6FD4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6CEEFC4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Utilize co-creation workshops, stakeholder consultations, and scenario planning techniques to develop and refine new models.</w:t>
            </w:r>
          </w:p>
        </w:tc>
        <w:tc>
          <w:tcPr>
            <w:tcW w:w="2766" w:type="dxa"/>
          </w:tcPr>
          <w:p w14:paraId="27523E0A" w14:textId="0237D583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Financial modeling tools </w:t>
            </w:r>
            <w:r w:rsidR="00E700D9" w:rsidRPr="00FD71BF">
              <w:rPr>
                <w:rFonts w:cstheme="minorHAnsi"/>
                <w:sz w:val="16"/>
                <w:szCs w:val="16"/>
              </w:rPr>
              <w:t>to</w:t>
            </w:r>
            <w:r w:rsidRPr="00FD71BF">
              <w:rPr>
                <w:rFonts w:cstheme="minorHAnsi"/>
                <w:sz w:val="16"/>
                <w:szCs w:val="16"/>
              </w:rPr>
              <w:t xml:space="preserve"> assess financial viability of circular construction projects, and capacity-building programs to enhance financial literacy </w:t>
            </w:r>
          </w:p>
        </w:tc>
      </w:tr>
      <w:tr w:rsidR="003202F1" w:rsidRPr="00FD71BF" w14:paraId="6ADCDF3F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684BC8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3E6A9B6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AD8A42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041EF91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Financial Assessment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and Risk Analysis</w:t>
            </w:r>
          </w:p>
        </w:tc>
        <w:tc>
          <w:tcPr>
            <w:tcW w:w="2593" w:type="dxa"/>
          </w:tcPr>
          <w:p w14:paraId="33469750" w14:textId="50E744CA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Assess the financial implications and risks associated with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adopting circular construction practices</w:t>
            </w:r>
          </w:p>
        </w:tc>
        <w:tc>
          <w:tcPr>
            <w:tcW w:w="1973" w:type="dxa"/>
          </w:tcPr>
          <w:p w14:paraId="3627952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2790EE41" w14:textId="26ADE8F2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Conduct cost-benefit analyses, financial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modeling, and risk assessments to quant</w:t>
            </w:r>
            <w:r w:rsidR="00CF671F" w:rsidRPr="00FD71BF">
              <w:rPr>
                <w:rFonts w:cstheme="minorHAnsi"/>
                <w:sz w:val="16"/>
                <w:szCs w:val="16"/>
              </w:rPr>
              <w:t xml:space="preserve">ify the financial viability of </w:t>
            </w:r>
            <w:r w:rsidRPr="00FD71BF">
              <w:rPr>
                <w:rFonts w:cstheme="minorHAnsi"/>
                <w:sz w:val="16"/>
                <w:szCs w:val="16"/>
              </w:rPr>
              <w:t>business models.</w:t>
            </w:r>
          </w:p>
        </w:tc>
        <w:tc>
          <w:tcPr>
            <w:tcW w:w="2766" w:type="dxa"/>
          </w:tcPr>
          <w:p w14:paraId="7E10F03A" w14:textId="78CE5198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Policy Recommendations to incentivize the adoption of circular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business models that enable innovation and investment in circular construction practices.</w:t>
            </w:r>
          </w:p>
        </w:tc>
      </w:tr>
      <w:tr w:rsidR="003202F1" w:rsidRPr="00FD71BF" w14:paraId="3D22BFC2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66D6F9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F5EEFD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824BC5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Economic </w:t>
            </w:r>
          </w:p>
        </w:tc>
        <w:tc>
          <w:tcPr>
            <w:tcW w:w="1354" w:type="dxa"/>
          </w:tcPr>
          <w:p w14:paraId="545B15C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Collaborative Business Models:</w:t>
            </w:r>
          </w:p>
        </w:tc>
        <w:tc>
          <w:tcPr>
            <w:tcW w:w="2593" w:type="dxa"/>
          </w:tcPr>
          <w:p w14:paraId="455F2C8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collaborative business models that involve multiple stakeholders working together to promote circular construction.</w:t>
            </w:r>
          </w:p>
        </w:tc>
        <w:tc>
          <w:tcPr>
            <w:tcW w:w="1973" w:type="dxa"/>
          </w:tcPr>
          <w:p w14:paraId="6F3C7B4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7E524821" w14:textId="5FD9FB1A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Study partnerships between construction firms, suppliers, waste management companies, to identify collaboration models.</w:t>
            </w:r>
          </w:p>
        </w:tc>
        <w:tc>
          <w:tcPr>
            <w:tcW w:w="2766" w:type="dxa"/>
          </w:tcPr>
          <w:p w14:paraId="35A605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Matchmaking and partnership-building initiatives to connect stakeholders with complementary interests and expertise.</w:t>
            </w:r>
          </w:p>
        </w:tc>
      </w:tr>
      <w:tr w:rsidR="003202F1" w:rsidRPr="00FD71BF" w14:paraId="5B7FBED8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92358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C13B7A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B7A28A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  <w:tc>
          <w:tcPr>
            <w:tcW w:w="1354" w:type="dxa"/>
          </w:tcPr>
          <w:p w14:paraId="1876B9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 and Regulatory Impact on Business Models:</w:t>
            </w:r>
          </w:p>
        </w:tc>
        <w:tc>
          <w:tcPr>
            <w:tcW w:w="2593" w:type="dxa"/>
          </w:tcPr>
          <w:p w14:paraId="1DC2E895" w14:textId="46C1C7D5" w:rsidR="003202F1" w:rsidRPr="00FD71BF" w:rsidRDefault="003202F1" w:rsidP="00CF671F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Investigate how government policies and regulations affect the </w:t>
            </w:r>
            <w:r w:rsidR="00CF671F" w:rsidRPr="00FD71BF">
              <w:rPr>
                <w:rFonts w:cstheme="minorHAnsi"/>
                <w:sz w:val="16"/>
                <w:szCs w:val="16"/>
              </w:rPr>
              <w:t>execution</w:t>
            </w:r>
            <w:r w:rsidRPr="00FD71BF">
              <w:rPr>
                <w:rFonts w:cstheme="minorHAnsi"/>
                <w:sz w:val="16"/>
                <w:szCs w:val="16"/>
              </w:rPr>
              <w:t xml:space="preserve"> of circular business models </w:t>
            </w:r>
          </w:p>
        </w:tc>
        <w:tc>
          <w:tcPr>
            <w:tcW w:w="1973" w:type="dxa"/>
          </w:tcPr>
          <w:p w14:paraId="5961605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07B8C22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the impact of regulatory frameworks, subsidies, and incentives on the financial viability of circular construction practices.</w:t>
            </w:r>
          </w:p>
        </w:tc>
        <w:tc>
          <w:tcPr>
            <w:tcW w:w="2766" w:type="dxa"/>
          </w:tcPr>
          <w:p w14:paraId="55FCBA31" w14:textId="59882D18" w:rsidR="003202F1" w:rsidRPr="00FD71BF" w:rsidRDefault="003202F1" w:rsidP="00DA0E8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Academic publications, industry reports, and stakeholder workshops to foster a community of practice around circular construction business models to facilitate knowledge sharing </w:t>
            </w:r>
          </w:p>
        </w:tc>
      </w:tr>
      <w:tr w:rsidR="003202F1" w:rsidRPr="00FD71BF" w14:paraId="67C31D53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4EC9448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A56C3A4" w14:textId="1EDDBE68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Technology and Innovation Manag</w:t>
            </w:r>
            <w:r w:rsidR="00984797" w:rsidRPr="00FD71BF">
              <w:rPr>
                <w:rFonts w:cstheme="minorHAnsi"/>
                <w:sz w:val="16"/>
                <w:szCs w:val="16"/>
              </w:rPr>
              <w:t>ement</w:t>
            </w:r>
          </w:p>
        </w:tc>
        <w:tc>
          <w:tcPr>
            <w:tcW w:w="1526" w:type="dxa"/>
          </w:tcPr>
          <w:p w14:paraId="0D9C20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39A42BF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Development of Circular Construction Technologies:</w:t>
            </w:r>
          </w:p>
        </w:tc>
        <w:tc>
          <w:tcPr>
            <w:tcW w:w="2593" w:type="dxa"/>
          </w:tcPr>
          <w:p w14:paraId="6A37C9D1" w14:textId="62A2F0B0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Research and develop innovative technologies to support circular construction practices, such as advanced recycling systems, digital twins for material tracking, and modular construction </w:t>
            </w:r>
          </w:p>
        </w:tc>
        <w:tc>
          <w:tcPr>
            <w:tcW w:w="1973" w:type="dxa"/>
          </w:tcPr>
          <w:p w14:paraId="7946595F" w14:textId="77777777" w:rsidR="003202F1" w:rsidRPr="00FD71BF" w:rsidRDefault="003202F1" w:rsidP="00F5335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theme="minorHAnsi"/>
                <w:sz w:val="16"/>
                <w:szCs w:val="16"/>
                <w:lang w:eastAsia="de-DE" w:bidi="en-US"/>
              </w:rPr>
            </w:pPr>
            <w:r w:rsidRPr="00FD71BF">
              <w:rPr>
                <w:rFonts w:ascii="Palatino Linotype" w:hAnsi="Palatino Linotype" w:cstheme="minorHAnsi"/>
                <w:sz w:val="16"/>
                <w:szCs w:val="16"/>
                <w:lang w:eastAsia="de-DE" w:bidi="en-US"/>
              </w:rPr>
              <w:t>Involves engineering, information technology, innovation management, and environmental science.</w:t>
            </w:r>
          </w:p>
        </w:tc>
        <w:tc>
          <w:tcPr>
            <w:tcW w:w="2202" w:type="dxa"/>
          </w:tcPr>
          <w:p w14:paraId="1ADF9AC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Collaborate with engineering and materials science experts to prototype and test new technologies in real-world construction projects.</w:t>
            </w:r>
          </w:p>
        </w:tc>
        <w:tc>
          <w:tcPr>
            <w:tcW w:w="2766" w:type="dxa"/>
          </w:tcPr>
          <w:p w14:paraId="0F41BB8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Portfolio of innovative technologies and solutions that support circular construction practices, with demonstrated environmental and economic benefits.</w:t>
            </w:r>
          </w:p>
        </w:tc>
      </w:tr>
      <w:tr w:rsidR="003202F1" w:rsidRPr="00FD71BF" w14:paraId="2077B731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4348F4B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0E0B1B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70FDF1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26EEC5C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Integration of Digitalization and Automation</w:t>
            </w:r>
            <w:r w:rsidRPr="00FD71BF">
              <w:rPr>
                <w:rFonts w:cstheme="minorHAnsi"/>
                <w:sz w:val="16"/>
                <w:szCs w:val="16"/>
              </w:rPr>
              <w:tab/>
            </w:r>
          </w:p>
        </w:tc>
        <w:tc>
          <w:tcPr>
            <w:tcW w:w="2593" w:type="dxa"/>
          </w:tcPr>
          <w:p w14:paraId="3127561D" w14:textId="0B436DF0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how digitalization and automation can optimize construction processes and enable greater circularity, such as through Building Information Modeling (BIM), robotics for deconstruction</w:t>
            </w:r>
            <w:r w:rsidR="00E700D9" w:rsidRPr="00FD71BF">
              <w:rPr>
                <w:rFonts w:cstheme="minorHAnsi"/>
                <w:sz w:val="16"/>
                <w:szCs w:val="16"/>
              </w:rPr>
              <w:t>,</w:t>
            </w:r>
            <w:r w:rsidRPr="00FD71BF">
              <w:rPr>
                <w:rFonts w:cstheme="minorHAnsi"/>
                <w:sz w:val="16"/>
                <w:szCs w:val="16"/>
              </w:rPr>
              <w:t xml:space="preserve"> recycling, and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IoT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-enabled monitoring.</w:t>
            </w:r>
          </w:p>
        </w:tc>
        <w:tc>
          <w:tcPr>
            <w:tcW w:w="1973" w:type="dxa"/>
          </w:tcPr>
          <w:p w14:paraId="4D1F6E0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9CDC88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case studies and pilot projects to assess the feasibility and benefits of integrating digital and automated solutions into circular construction workflows.</w:t>
            </w:r>
          </w:p>
        </w:tc>
        <w:tc>
          <w:tcPr>
            <w:tcW w:w="2766" w:type="dxa"/>
          </w:tcPr>
          <w:p w14:paraId="7693D5A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Guidelines and best practices for technology developers, construction firms, and policymakers on integrating innovative technologies into circular construction projects effectively.</w:t>
            </w:r>
          </w:p>
        </w:tc>
      </w:tr>
      <w:tr w:rsidR="003202F1" w:rsidRPr="00FD71BF" w14:paraId="593CD149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2BBB98B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6DE43A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7D626B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5D9864D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Innovation Management Strategies</w:t>
            </w:r>
          </w:p>
        </w:tc>
        <w:tc>
          <w:tcPr>
            <w:tcW w:w="2593" w:type="dxa"/>
          </w:tcPr>
          <w:p w14:paraId="3A62747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Explore strategies for effectively managing innovation in the context of circular construction, including open innovation platforms, cross-sector collaborations, and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incentivization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mechanisms.</w:t>
            </w:r>
          </w:p>
        </w:tc>
        <w:tc>
          <w:tcPr>
            <w:tcW w:w="1973" w:type="dxa"/>
          </w:tcPr>
          <w:p w14:paraId="6E19B3B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6B107B2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best practices from other industries and conduct surveys and interviews with construction industry stakeholders to identify barriers to innovation and potential solutions.</w:t>
            </w:r>
          </w:p>
        </w:tc>
        <w:tc>
          <w:tcPr>
            <w:tcW w:w="2766" w:type="dxa"/>
          </w:tcPr>
          <w:p w14:paraId="72524563" w14:textId="0D8ADE43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Evidence-based policy recommendations to policymakers on how to create an enabling environment for technological innovation</w:t>
            </w:r>
            <w:r w:rsidR="00984797" w:rsidRPr="00FD71BF">
              <w:rPr>
                <w:rFonts w:cstheme="minorHAnsi"/>
                <w:sz w:val="16"/>
                <w:szCs w:val="16"/>
              </w:rPr>
              <w:t>,</w:t>
            </w:r>
            <w:r w:rsidRPr="00FD71BF">
              <w:rPr>
                <w:rFonts w:cstheme="minorHAnsi"/>
                <w:sz w:val="16"/>
                <w:szCs w:val="16"/>
              </w:rPr>
              <w:t xml:space="preserve"> regulatory updates and incentive mechanisms.</w:t>
            </w:r>
          </w:p>
        </w:tc>
      </w:tr>
      <w:tr w:rsidR="003202F1" w:rsidRPr="00FD71BF" w14:paraId="0129B7DB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D35D42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517E46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60A3461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72C5FE4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Lifecycle Assessment of Innovative Technologies</w:t>
            </w:r>
          </w:p>
        </w:tc>
        <w:tc>
          <w:tcPr>
            <w:tcW w:w="2593" w:type="dxa"/>
          </w:tcPr>
          <w:p w14:paraId="30B8128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Evaluate the environmental and economic impacts of new technologies for circular construction throughout their lifecycle, from raw material extraction to end-of-life disposal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or recycling.</w:t>
            </w:r>
          </w:p>
        </w:tc>
        <w:tc>
          <w:tcPr>
            <w:tcW w:w="1973" w:type="dxa"/>
          </w:tcPr>
          <w:p w14:paraId="20AAA1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CFBCB6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Utilize lifecycle assessment (LCA) methodologies to quantify the benefits and trade-offs associated with different technological solutions.</w:t>
            </w:r>
          </w:p>
        </w:tc>
        <w:tc>
          <w:tcPr>
            <w:tcW w:w="2766" w:type="dxa"/>
          </w:tcPr>
          <w:p w14:paraId="72B7685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Capacity-building programs, training workshops, and knowledge-sharing platforms to facilitate the adoption and diffusion of innovative technologies in the construction industry.</w:t>
            </w:r>
          </w:p>
        </w:tc>
      </w:tr>
      <w:tr w:rsidR="003202F1" w:rsidRPr="00FD71BF" w14:paraId="350092CC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87F0A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CC398D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6CB2D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  <w:tc>
          <w:tcPr>
            <w:tcW w:w="1354" w:type="dxa"/>
          </w:tcPr>
          <w:p w14:paraId="6B8DEC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Regulatory and Policy Implications of Technological Innovation:</w:t>
            </w:r>
          </w:p>
        </w:tc>
        <w:tc>
          <w:tcPr>
            <w:tcW w:w="2593" w:type="dxa"/>
          </w:tcPr>
          <w:p w14:paraId="3EB7C5C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Examine how technological innovations in circular construction interact with existing regulations and policies, and identify opportunities for alignment or adaptation.</w:t>
            </w:r>
          </w:p>
        </w:tc>
        <w:tc>
          <w:tcPr>
            <w:tcW w:w="1973" w:type="dxa"/>
          </w:tcPr>
          <w:p w14:paraId="2B2BD2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B4A105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regulatory frameworks and engage with policymakers to propose updates or new policies that support the adoption of innovative technologies.</w:t>
            </w:r>
          </w:p>
        </w:tc>
        <w:tc>
          <w:tcPr>
            <w:tcW w:w="2766" w:type="dxa"/>
          </w:tcPr>
          <w:p w14:paraId="7362EBE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Collaborative networks and partnerships between technology developers, construction firms, research institutions, and government agencies to drive collective action and innovation in circular construction.</w:t>
            </w:r>
          </w:p>
        </w:tc>
      </w:tr>
      <w:tr w:rsidR="003202F1" w:rsidRPr="00FD71BF" w14:paraId="048E1D42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20C777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34F3A5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Supply Chain and Logistics</w:t>
            </w:r>
          </w:p>
        </w:tc>
        <w:tc>
          <w:tcPr>
            <w:tcW w:w="1526" w:type="dxa"/>
          </w:tcPr>
          <w:p w14:paraId="717ED5A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and Economic  </w:t>
            </w:r>
          </w:p>
        </w:tc>
        <w:tc>
          <w:tcPr>
            <w:tcW w:w="1354" w:type="dxa"/>
          </w:tcPr>
          <w:p w14:paraId="29D6652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 Supply Chain Design:</w:t>
            </w:r>
          </w:p>
        </w:tc>
        <w:tc>
          <w:tcPr>
            <w:tcW w:w="2593" w:type="dxa"/>
          </w:tcPr>
          <w:p w14:paraId="20F3066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frameworks for designing circular supply chains that prioritize the use of recycled materials, minimize waste generation, and optimize resource flows.</w:t>
            </w:r>
          </w:p>
        </w:tc>
        <w:tc>
          <w:tcPr>
            <w:tcW w:w="1973" w:type="dxa"/>
          </w:tcPr>
          <w:p w14:paraId="2649353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Involves supply chain management, logistics, environmental science, and industrial engineering.</w:t>
            </w:r>
          </w:p>
        </w:tc>
        <w:tc>
          <w:tcPr>
            <w:tcW w:w="2202" w:type="dxa"/>
          </w:tcPr>
          <w:p w14:paraId="618C8295" w14:textId="253F2B98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Utilize supply chain modeling, network analysis, and optimization techniques to design efficient and resilient circular supply chains </w:t>
            </w:r>
          </w:p>
        </w:tc>
        <w:tc>
          <w:tcPr>
            <w:tcW w:w="2766" w:type="dxa"/>
          </w:tcPr>
          <w:p w14:paraId="667A8005" w14:textId="27528EDB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Optimized Circular Supply Chain Models </w:t>
            </w:r>
          </w:p>
        </w:tc>
      </w:tr>
      <w:tr w:rsidR="003202F1" w:rsidRPr="00FD71BF" w14:paraId="402AF287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B050D7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Site level </w:t>
            </w:r>
          </w:p>
        </w:tc>
        <w:tc>
          <w:tcPr>
            <w:tcW w:w="1320" w:type="dxa"/>
          </w:tcPr>
          <w:p w14:paraId="6BE3948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4C6059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0BD23A9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Material Tracking and Traceability:</w:t>
            </w:r>
          </w:p>
        </w:tc>
        <w:tc>
          <w:tcPr>
            <w:tcW w:w="2593" w:type="dxa"/>
          </w:tcPr>
          <w:p w14:paraId="1B1DA1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methods for tracking and tracing materials throughout the construction supply chain to ensure transparency, quality control, and compliance with circularity requirements.</w:t>
            </w:r>
          </w:p>
        </w:tc>
        <w:tc>
          <w:tcPr>
            <w:tcW w:w="1973" w:type="dxa"/>
          </w:tcPr>
          <w:p w14:paraId="5AB8111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62738C7F" w14:textId="77221F1E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Explore </w:t>
            </w:r>
            <w:r w:rsidR="00E700D9" w:rsidRPr="00FD71BF">
              <w:rPr>
                <w:rFonts w:cstheme="minorHAnsi"/>
                <w:sz w:val="16"/>
                <w:szCs w:val="16"/>
              </w:rPr>
              <w:t>technologies such as B</w:t>
            </w:r>
            <w:r w:rsidRPr="00FD71BF">
              <w:rPr>
                <w:rFonts w:cstheme="minorHAnsi"/>
                <w:sz w:val="16"/>
                <w:szCs w:val="16"/>
              </w:rPr>
              <w:t>lock chain, RFID, and QR codes for real-time material tracking and data sharing.</w:t>
            </w:r>
          </w:p>
        </w:tc>
        <w:tc>
          <w:tcPr>
            <w:tcW w:w="2766" w:type="dxa"/>
          </w:tcPr>
          <w:p w14:paraId="05E1BD61" w14:textId="74E0C629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Guidelines and best practices for </w:t>
            </w:r>
            <w:r w:rsidR="00E700D9" w:rsidRPr="00FD71BF">
              <w:rPr>
                <w:rFonts w:cstheme="minorHAnsi"/>
                <w:sz w:val="16"/>
                <w:szCs w:val="16"/>
              </w:rPr>
              <w:t>site personnel</w:t>
            </w:r>
            <w:r w:rsidRPr="00FD71BF">
              <w:rPr>
                <w:rFonts w:cstheme="minorHAnsi"/>
                <w:sz w:val="16"/>
                <w:szCs w:val="16"/>
              </w:rPr>
              <w:t xml:space="preserve"> on implementing circular supply chain practices.</w:t>
            </w:r>
          </w:p>
        </w:tc>
      </w:tr>
      <w:tr w:rsidR="003202F1" w:rsidRPr="00FD71BF" w14:paraId="4946029C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4AA6F90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2ACBFD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384942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6D96563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Reverse Logistics and Material Recovery</w:t>
            </w:r>
          </w:p>
        </w:tc>
        <w:tc>
          <w:tcPr>
            <w:tcW w:w="2593" w:type="dxa"/>
          </w:tcPr>
          <w:p w14:paraId="3B75CB6D" w14:textId="7310CC97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strategies for reverse logistics processes to recover, refurbish, and recycle construction materials and components at the end of their lifecycle.</w:t>
            </w:r>
          </w:p>
        </w:tc>
        <w:tc>
          <w:tcPr>
            <w:tcW w:w="1973" w:type="dxa"/>
          </w:tcPr>
          <w:p w14:paraId="3109F9D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66C1FCB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case studies and pilot projects to test reverse logistics models, collection systems, and recycling facilities for construction waste.</w:t>
            </w:r>
          </w:p>
        </w:tc>
        <w:tc>
          <w:tcPr>
            <w:tcW w:w="2766" w:type="dxa"/>
          </w:tcPr>
          <w:p w14:paraId="3B085231" w14:textId="74B1C380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Provide evidence-based </w:t>
            </w:r>
            <w:r w:rsidR="00E700D9" w:rsidRPr="00FD71BF">
              <w:rPr>
                <w:rFonts w:cstheme="minorHAnsi"/>
                <w:sz w:val="16"/>
                <w:szCs w:val="16"/>
              </w:rPr>
              <w:t xml:space="preserve">site practices </w:t>
            </w:r>
            <w:r w:rsidRPr="00FD71BF">
              <w:rPr>
                <w:rFonts w:cstheme="minorHAnsi"/>
                <w:sz w:val="16"/>
                <w:szCs w:val="16"/>
              </w:rPr>
              <w:t>to governments and regulatory bodies on supporting circular supply chain initiatives</w:t>
            </w:r>
            <w:r w:rsidR="00E700D9" w:rsidRPr="00FD71BF">
              <w:rPr>
                <w:rFonts w:cstheme="minorHAnsi"/>
                <w:sz w:val="16"/>
                <w:szCs w:val="16"/>
              </w:rPr>
              <w:t>.</w:t>
            </w:r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3202F1" w:rsidRPr="00FD71BF" w14:paraId="1898DBF8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1DDEE83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B7FAC7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3C0868A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Social and Integration</w:t>
            </w:r>
          </w:p>
        </w:tc>
        <w:tc>
          <w:tcPr>
            <w:tcW w:w="1354" w:type="dxa"/>
          </w:tcPr>
          <w:p w14:paraId="29A3F8E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Collaborative Supply Chain Partnerships</w:t>
            </w:r>
          </w:p>
        </w:tc>
        <w:tc>
          <w:tcPr>
            <w:tcW w:w="2593" w:type="dxa"/>
          </w:tcPr>
          <w:p w14:paraId="1290AA23" w14:textId="02833BC4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Investigate the role of collaboration between construction firms, suppliers, waste management companies, and other stakeholders in promoting circularity </w:t>
            </w:r>
          </w:p>
        </w:tc>
        <w:tc>
          <w:tcPr>
            <w:tcW w:w="1973" w:type="dxa"/>
          </w:tcPr>
          <w:p w14:paraId="52DBA9A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50073FB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successful collaboration models, identify barriers to collaboration, and develop strategies for fostering partnerships.</w:t>
            </w:r>
          </w:p>
        </w:tc>
        <w:tc>
          <w:tcPr>
            <w:tcW w:w="2766" w:type="dxa"/>
          </w:tcPr>
          <w:p w14:paraId="4123E1C3" w14:textId="62A5F930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Technological solutions and tools to support material tracking, traceability, and reverse logistics processes</w:t>
            </w:r>
            <w:r w:rsidR="00E700D9" w:rsidRPr="00FD71BF">
              <w:rPr>
                <w:rFonts w:cstheme="minorHAnsi"/>
                <w:sz w:val="16"/>
                <w:szCs w:val="16"/>
              </w:rPr>
              <w:t>.</w:t>
            </w:r>
            <w:r w:rsidRPr="00FD71BF">
              <w:rPr>
                <w:rFonts w:cstheme="minorHAnsi"/>
                <w:sz w:val="16"/>
                <w:szCs w:val="16"/>
              </w:rPr>
              <w:t xml:space="preserve"> </w:t>
            </w:r>
          </w:p>
        </w:tc>
      </w:tr>
      <w:tr w:rsidR="003202F1" w:rsidRPr="00FD71BF" w14:paraId="51D40A9A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B3B82A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510E88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4B69B4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0C6ED645" w14:textId="635333F5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Impact of Digitalization on Supply Chain Management</w:t>
            </w:r>
          </w:p>
        </w:tc>
        <w:tc>
          <w:tcPr>
            <w:tcW w:w="2593" w:type="dxa"/>
          </w:tcPr>
          <w:p w14:paraId="131EDDC0" w14:textId="50AD66EE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Examine how digitalization technologies can improve supply chain management practices and support circular construction initiatives.</w:t>
            </w:r>
          </w:p>
        </w:tc>
        <w:tc>
          <w:tcPr>
            <w:tcW w:w="1973" w:type="dxa"/>
          </w:tcPr>
          <w:p w14:paraId="222DC99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519AB01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case studies and simulation studies to assess the potential benefits of digitalization in optimizing material flows, reducing inventory levels, and enhancing resource efficiency.</w:t>
            </w:r>
          </w:p>
        </w:tc>
        <w:tc>
          <w:tcPr>
            <w:tcW w:w="2766" w:type="dxa"/>
          </w:tcPr>
          <w:p w14:paraId="366167B3" w14:textId="2D74CB8E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Capacity-building programs, training workshops, and knowledge-sharing platforms to build awareness and expertise in circular supply chain management among </w:t>
            </w:r>
            <w:r w:rsidR="00E700D9" w:rsidRPr="00FD71BF">
              <w:rPr>
                <w:rFonts w:cstheme="minorHAnsi"/>
                <w:sz w:val="16"/>
                <w:szCs w:val="16"/>
              </w:rPr>
              <w:t>site personnel</w:t>
            </w:r>
            <w:r w:rsidRPr="00FD71BF">
              <w:rPr>
                <w:rFonts w:cstheme="minorHAnsi"/>
                <w:sz w:val="16"/>
                <w:szCs w:val="16"/>
              </w:rPr>
              <w:t>.</w:t>
            </w:r>
          </w:p>
        </w:tc>
      </w:tr>
      <w:tr w:rsidR="003202F1" w:rsidRPr="00FD71BF" w14:paraId="2E2D1AAA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4EA7A8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0ECF98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 for Deconstruction and Reuse:</w:t>
            </w:r>
          </w:p>
        </w:tc>
        <w:tc>
          <w:tcPr>
            <w:tcW w:w="1526" w:type="dxa"/>
          </w:tcPr>
          <w:p w14:paraId="6E2DAF0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69A134A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 for Deconstruction and Reuse</w:t>
            </w:r>
          </w:p>
        </w:tc>
        <w:tc>
          <w:tcPr>
            <w:tcW w:w="2593" w:type="dxa"/>
          </w:tcPr>
          <w:p w14:paraId="686CD33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design strategies and techniques that facilitate easy deconstruction and enable the reuse of construction materials and components.</w:t>
            </w:r>
          </w:p>
        </w:tc>
        <w:tc>
          <w:tcPr>
            <w:tcW w:w="1973" w:type="dxa"/>
          </w:tcPr>
          <w:p w14:paraId="31F0A15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7769E90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Conduct case studies, design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charrettes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, and material testing to identify and evaluate deconstruction-friendly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design solutions.</w:t>
            </w:r>
          </w:p>
        </w:tc>
        <w:tc>
          <w:tcPr>
            <w:tcW w:w="2766" w:type="dxa"/>
          </w:tcPr>
          <w:p w14:paraId="351CD53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Guidelines and best practices for architects, designers, contractors, and developers on designing for deconstruction, selecting sustainable materials, and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implementing effective waste management practices.</w:t>
            </w:r>
          </w:p>
        </w:tc>
      </w:tr>
      <w:tr w:rsidR="003202F1" w:rsidRPr="00FD71BF" w14:paraId="40A5461A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1364CA9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CBDE79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Material Efficiency and Waste Management:</w:t>
            </w:r>
          </w:p>
        </w:tc>
        <w:tc>
          <w:tcPr>
            <w:tcW w:w="1526" w:type="dxa"/>
          </w:tcPr>
          <w:p w14:paraId="3C6A5DA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57989D2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Material Selection and Specification:</w:t>
            </w:r>
          </w:p>
        </w:tc>
        <w:tc>
          <w:tcPr>
            <w:tcW w:w="2593" w:type="dxa"/>
          </w:tcPr>
          <w:p w14:paraId="14D28D5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guidelines and tools for selecting and specifying materials with a focus on circularity, durability, recyclability, and low environmental impact.</w:t>
            </w:r>
          </w:p>
        </w:tc>
        <w:tc>
          <w:tcPr>
            <w:tcW w:w="1973" w:type="dxa"/>
          </w:tcPr>
          <w:p w14:paraId="6C84C26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Combines construction management, environmental engineering, materials science, and sustainability studies.</w:t>
            </w:r>
          </w:p>
        </w:tc>
        <w:tc>
          <w:tcPr>
            <w:tcW w:w="2202" w:type="dxa"/>
          </w:tcPr>
          <w:p w14:paraId="3C21EE8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life cycle assessments (LCAs), material flow analyses, and environmental impact assessments to inform material selection decisions.</w:t>
            </w:r>
          </w:p>
        </w:tc>
        <w:tc>
          <w:tcPr>
            <w:tcW w:w="2766" w:type="dxa"/>
          </w:tcPr>
          <w:p w14:paraId="7CC8DBC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Evidence-based policy recommendations to governments and regulatory bodies on supporting material efficiency and waste management initiatives through regulations, incentives, and standards.</w:t>
            </w:r>
          </w:p>
        </w:tc>
      </w:tr>
      <w:tr w:rsidR="003202F1" w:rsidRPr="00FD71BF" w14:paraId="3DE47B99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1F7F2C6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CD69CB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0048098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66A163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Construction Waste Management Practices:</w:t>
            </w:r>
          </w:p>
        </w:tc>
        <w:tc>
          <w:tcPr>
            <w:tcW w:w="2593" w:type="dxa"/>
          </w:tcPr>
          <w:p w14:paraId="58796DB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innovative waste management practices and technologies for minimizing construction waste, maximizing material recovery, and diverting waste from landfills.</w:t>
            </w:r>
          </w:p>
        </w:tc>
        <w:tc>
          <w:tcPr>
            <w:tcW w:w="1973" w:type="dxa"/>
          </w:tcPr>
          <w:p w14:paraId="4573D2F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0771F9E6" w14:textId="6E1EFF77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Study construction waste management systems, sorting facilities, and recycling processes, and assess their effectiveness in reducing waste generation </w:t>
            </w:r>
          </w:p>
        </w:tc>
        <w:tc>
          <w:tcPr>
            <w:tcW w:w="2766" w:type="dxa"/>
          </w:tcPr>
          <w:p w14:paraId="3A8C92B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Technological Solutions and Tools to support material tracking, traceability, and waste management in the construction industry, including digital platforms, sensors, and data analytics.</w:t>
            </w:r>
          </w:p>
        </w:tc>
      </w:tr>
      <w:tr w:rsidR="003202F1" w:rsidRPr="00FD71BF" w14:paraId="1C629FB6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1667A9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37AD7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AB06D8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4D67828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Resource Optimization and Material Flow Analysis:</w:t>
            </w:r>
          </w:p>
        </w:tc>
        <w:tc>
          <w:tcPr>
            <w:tcW w:w="2593" w:type="dxa"/>
          </w:tcPr>
          <w:p w14:paraId="170759C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material flows and resource consumption throughout the construction lifecycle to identify opportunities for optimizing resource use and reducing waste.</w:t>
            </w:r>
          </w:p>
        </w:tc>
        <w:tc>
          <w:tcPr>
            <w:tcW w:w="1973" w:type="dxa"/>
          </w:tcPr>
          <w:p w14:paraId="100AD30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0A4E5078" w14:textId="674B045C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Utilize material flow analysis (MFA), resource mapping, and lean construction principles to identify inefficiencies and </w:t>
            </w:r>
            <w:r w:rsidR="00E700D9" w:rsidRPr="00FD71BF">
              <w:rPr>
                <w:rFonts w:cstheme="minorHAnsi"/>
                <w:sz w:val="16"/>
                <w:szCs w:val="16"/>
              </w:rPr>
              <w:t>improve</w:t>
            </w:r>
            <w:r w:rsidRPr="00FD71BF">
              <w:rPr>
                <w:rFonts w:cstheme="minorHAnsi"/>
                <w:sz w:val="16"/>
                <w:szCs w:val="16"/>
              </w:rPr>
              <w:t xml:space="preserve"> resource optimization.</w:t>
            </w:r>
          </w:p>
        </w:tc>
        <w:tc>
          <w:tcPr>
            <w:tcW w:w="2766" w:type="dxa"/>
          </w:tcPr>
          <w:p w14:paraId="7971C36A" w14:textId="7EB77B19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Capacity-building programs, training workshops, and knowledge-sharing platforms to build awareness and expertise in material efficiency and waste management</w:t>
            </w:r>
            <w:r w:rsidR="00E700D9" w:rsidRPr="00FD71BF">
              <w:rPr>
                <w:rFonts w:cstheme="minorHAnsi"/>
                <w:sz w:val="16"/>
                <w:szCs w:val="16"/>
              </w:rPr>
              <w:t>.</w:t>
            </w:r>
          </w:p>
        </w:tc>
      </w:tr>
      <w:tr w:rsidR="003202F1" w:rsidRPr="00FD71BF" w14:paraId="3387BD5C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E95D9A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5CC32B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5C255C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Economic</w:t>
            </w:r>
          </w:p>
        </w:tc>
        <w:tc>
          <w:tcPr>
            <w:tcW w:w="1354" w:type="dxa"/>
          </w:tcPr>
          <w:p w14:paraId="2B62393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 Business Models for Material Management:</w:t>
            </w:r>
          </w:p>
        </w:tc>
        <w:tc>
          <w:tcPr>
            <w:tcW w:w="2593" w:type="dxa"/>
          </w:tcPr>
          <w:p w14:paraId="723AD9F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circular business models and value propositions related to material management in the construction industry, such as material leasing, remanufacturing, and take-back schemes.</w:t>
            </w:r>
          </w:p>
        </w:tc>
        <w:tc>
          <w:tcPr>
            <w:tcW w:w="1973" w:type="dxa"/>
          </w:tcPr>
          <w:p w14:paraId="56C8956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68192F2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market research, business model canvas workshops, and financial analyses to evaluate the feasibility and viability of circular material management models.</w:t>
            </w:r>
          </w:p>
        </w:tc>
        <w:tc>
          <w:tcPr>
            <w:tcW w:w="2766" w:type="dxa"/>
          </w:tcPr>
          <w:p w14:paraId="293363C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Circular business models and value propositions related to material management in the construction industry, and provide guidance on their implementation and scalability.</w:t>
            </w:r>
          </w:p>
        </w:tc>
      </w:tr>
      <w:tr w:rsidR="003202F1" w:rsidRPr="00FD71BF" w14:paraId="530DCB07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797833C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366824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EA1A24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79DC7E7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Development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Guidelines and Frameworks</w:t>
            </w:r>
          </w:p>
        </w:tc>
        <w:tc>
          <w:tcPr>
            <w:tcW w:w="2593" w:type="dxa"/>
          </w:tcPr>
          <w:p w14:paraId="1AECD6A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Develop comprehensive guidelines and frameworks that outline principles and strategies for designing buildings and structures with deconstruction and reuse in mind.</w:t>
            </w:r>
          </w:p>
        </w:tc>
        <w:tc>
          <w:tcPr>
            <w:tcW w:w="1973" w:type="dxa"/>
          </w:tcPr>
          <w:p w14:paraId="0AF29CE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Involves architecture, civil engineering, materials science, and industrial design.</w:t>
            </w:r>
          </w:p>
        </w:tc>
        <w:tc>
          <w:tcPr>
            <w:tcW w:w="2202" w:type="dxa"/>
          </w:tcPr>
          <w:p w14:paraId="187A2F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literature reviews, case studies, and stakeholder consultations to identify best practices and develop practical guidance for architects, engineers, and designers.</w:t>
            </w:r>
          </w:p>
        </w:tc>
        <w:tc>
          <w:tcPr>
            <w:tcW w:w="2766" w:type="dxa"/>
          </w:tcPr>
          <w:p w14:paraId="227DE6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Guidelines, toolkits, and resources that provide practical guidance and support for integrating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principles into the design and construction process.</w:t>
            </w:r>
          </w:p>
        </w:tc>
      </w:tr>
      <w:tr w:rsidR="003202F1" w:rsidRPr="00FD71BF" w14:paraId="179FB368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332AE3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5A52A30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F448FE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Technical </w:t>
            </w:r>
          </w:p>
        </w:tc>
        <w:tc>
          <w:tcPr>
            <w:tcW w:w="1354" w:type="dxa"/>
          </w:tcPr>
          <w:p w14:paraId="7451FE7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Material Selection and Specification for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>:</w:t>
            </w:r>
          </w:p>
        </w:tc>
        <w:tc>
          <w:tcPr>
            <w:tcW w:w="2593" w:type="dxa"/>
          </w:tcPr>
          <w:p w14:paraId="089B074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material choices, specifications, and assembly methods that facilitate easy disassembly, component reuse, and material recovery.</w:t>
            </w:r>
          </w:p>
        </w:tc>
        <w:tc>
          <w:tcPr>
            <w:tcW w:w="1973" w:type="dxa"/>
          </w:tcPr>
          <w:p w14:paraId="3E71DFC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31A240E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life cycle assessments (LCAs), material flow analyses, and environmental impact assessments to inform material selection decisions and identify suitable alternatives.</w:t>
            </w:r>
          </w:p>
        </w:tc>
        <w:tc>
          <w:tcPr>
            <w:tcW w:w="2766" w:type="dxa"/>
          </w:tcPr>
          <w:p w14:paraId="38A11B4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Projects and Case Studies designed with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principles through demonstration projects, case studies, and best practice guides.</w:t>
            </w:r>
          </w:p>
        </w:tc>
      </w:tr>
      <w:tr w:rsidR="003202F1" w:rsidRPr="00FD71BF" w14:paraId="55CE162C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64B25CF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29A66F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1169C1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0B6F9F5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Innovative Structural Systems and Connections:</w:t>
            </w:r>
          </w:p>
        </w:tc>
        <w:tc>
          <w:tcPr>
            <w:tcW w:w="2593" w:type="dxa"/>
          </w:tcPr>
          <w:p w14:paraId="54416775" w14:textId="278D9F70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Explore innovative structural systems, connections, and detailing techniques that enable modular construction, component reuse, and adaptability </w:t>
            </w:r>
          </w:p>
        </w:tc>
        <w:tc>
          <w:tcPr>
            <w:tcW w:w="1973" w:type="dxa"/>
          </w:tcPr>
          <w:p w14:paraId="6C2AE7F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4510ECB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Utilize computational modeling, parametric design tools, and structural testing to develop and validate new structural solutions.</w:t>
            </w:r>
          </w:p>
        </w:tc>
        <w:tc>
          <w:tcPr>
            <w:tcW w:w="2766" w:type="dxa"/>
          </w:tcPr>
          <w:p w14:paraId="3556963B" w14:textId="5FFA7CAB" w:rsidR="003202F1" w:rsidRPr="00FD71BF" w:rsidRDefault="003202F1" w:rsidP="00E700D9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Evidence-based recommendations on integrating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requirements into building codes, standards, and certification systems.</w:t>
            </w:r>
          </w:p>
        </w:tc>
      </w:tr>
      <w:tr w:rsidR="003202F1" w:rsidRPr="00FD71BF" w14:paraId="25BE6698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E356D6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2B3C77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05F7E40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11F43C3C" w14:textId="6A98C4B6" w:rsidR="003202F1" w:rsidRPr="00FD71BF" w:rsidRDefault="003202F1" w:rsidP="008068E8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Assessment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Strategies and Technologies</w:t>
            </w:r>
          </w:p>
        </w:tc>
        <w:tc>
          <w:tcPr>
            <w:tcW w:w="2593" w:type="dxa"/>
          </w:tcPr>
          <w:p w14:paraId="61B7932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Evaluate the effectiveness and feasibility of different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strategies and technologies in real-world construction projects.</w:t>
            </w:r>
          </w:p>
        </w:tc>
        <w:tc>
          <w:tcPr>
            <w:tcW w:w="1973" w:type="dxa"/>
          </w:tcPr>
          <w:p w14:paraId="5A95125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23ED5EE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Conduct case studies, pilot projects, and post-occupancy evaluations to assess the performance and practicality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approaches.</w:t>
            </w:r>
          </w:p>
        </w:tc>
        <w:tc>
          <w:tcPr>
            <w:tcW w:w="2766" w:type="dxa"/>
          </w:tcPr>
          <w:p w14:paraId="645ED92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Transfer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technologies, innovations, and best practices through capacity-building programs, training workshops, and knowledge-sharing platforms.</w:t>
            </w:r>
          </w:p>
        </w:tc>
      </w:tr>
      <w:tr w:rsidR="003202F1" w:rsidRPr="00FD71BF" w14:paraId="2510B2A6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1472A77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0D90513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4874BB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056FBA6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Integration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into Building Codes and Standards</w:t>
            </w:r>
          </w:p>
        </w:tc>
        <w:tc>
          <w:tcPr>
            <w:tcW w:w="2593" w:type="dxa"/>
          </w:tcPr>
          <w:p w14:paraId="2A4F4AC0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Investigate the integration of </w:t>
            </w:r>
            <w:proofErr w:type="spellStart"/>
            <w:r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Pr="00FD71BF">
              <w:rPr>
                <w:rFonts w:cstheme="minorHAnsi"/>
                <w:sz w:val="16"/>
                <w:szCs w:val="16"/>
              </w:rPr>
              <w:t xml:space="preserve"> principles and requirements into building codes, standards, and certification systems.</w:t>
            </w:r>
          </w:p>
        </w:tc>
        <w:tc>
          <w:tcPr>
            <w:tcW w:w="1973" w:type="dxa"/>
          </w:tcPr>
          <w:p w14:paraId="3EF3843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1F23EB01" w14:textId="01BF5F93" w:rsidR="003202F1" w:rsidRPr="00FD71BF" w:rsidRDefault="003202F1" w:rsidP="008068E8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Collaborate with regulatory bodies, industry associations, and standards organizations to propose updates to existing codes and standards.</w:t>
            </w:r>
          </w:p>
        </w:tc>
        <w:tc>
          <w:tcPr>
            <w:tcW w:w="2766" w:type="dxa"/>
          </w:tcPr>
          <w:p w14:paraId="3FFB419B" w14:textId="44393FD9" w:rsidR="003202F1" w:rsidRPr="00FD71BF" w:rsidRDefault="00984797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Q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uantifying the environmental and economic benefits of 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DfDR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 xml:space="preserve"> approaches through life cycle assessments, cost-benefit analyses, and comparative studies with conventional construction methods.</w:t>
            </w:r>
          </w:p>
        </w:tc>
      </w:tr>
      <w:tr w:rsidR="003202F1" w:rsidRPr="00FD71BF" w14:paraId="6CC15DBC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0CA24DE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4992F78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On-site Renewable Energy Integration:</w:t>
            </w:r>
          </w:p>
        </w:tc>
        <w:tc>
          <w:tcPr>
            <w:tcW w:w="1526" w:type="dxa"/>
          </w:tcPr>
          <w:p w14:paraId="262EA56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668C0C1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Design Integration of Renewable Energy Systems:</w:t>
            </w:r>
          </w:p>
        </w:tc>
        <w:tc>
          <w:tcPr>
            <w:tcW w:w="2593" w:type="dxa"/>
          </w:tcPr>
          <w:p w14:paraId="25B91751" w14:textId="2776764B" w:rsidR="003202F1" w:rsidRPr="00FD71BF" w:rsidRDefault="008068E8" w:rsidP="00984797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Integrating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renewable energy systems, such as solar </w:t>
            </w:r>
            <w:proofErr w:type="spellStart"/>
            <w:r w:rsidR="003202F1" w:rsidRPr="00FD71BF">
              <w:rPr>
                <w:rFonts w:cstheme="minorHAnsi"/>
                <w:sz w:val="16"/>
                <w:szCs w:val="16"/>
              </w:rPr>
              <w:t>photovoltaics</w:t>
            </w:r>
            <w:proofErr w:type="spellEnd"/>
            <w:r w:rsidR="003202F1" w:rsidRPr="00FD71BF">
              <w:rPr>
                <w:rFonts w:cstheme="minorHAnsi"/>
                <w:sz w:val="16"/>
                <w:szCs w:val="16"/>
              </w:rPr>
              <w:t xml:space="preserve"> (PV), wind turbines, and geothermal heat pumps, </w:t>
            </w:r>
            <w:r w:rsidR="00984797" w:rsidRPr="00FD71BF">
              <w:rPr>
                <w:rFonts w:cstheme="minorHAnsi"/>
                <w:sz w:val="16"/>
                <w:szCs w:val="16"/>
              </w:rPr>
              <w:t>in</w:t>
            </w:r>
            <w:r w:rsidR="003202F1" w:rsidRPr="00FD71BF">
              <w:rPr>
                <w:rFonts w:cstheme="minorHAnsi"/>
                <w:sz w:val="16"/>
                <w:szCs w:val="16"/>
              </w:rPr>
              <w:t xml:space="preserve"> design of circular buildings and infrastructure.</w:t>
            </w:r>
          </w:p>
        </w:tc>
        <w:tc>
          <w:tcPr>
            <w:tcW w:w="1973" w:type="dxa"/>
          </w:tcPr>
          <w:p w14:paraId="48C0380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Combines renewable energy engineering, environmental science, construction management, and sustainability studies.</w:t>
            </w:r>
          </w:p>
        </w:tc>
        <w:tc>
          <w:tcPr>
            <w:tcW w:w="2202" w:type="dxa"/>
          </w:tcPr>
          <w:p w14:paraId="1132F1F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Utilize building information modeling (BIM), energy simulation tools, and parametric design techniques to optimize the placement, orientation, and sizing of renewable energy systems.</w:t>
            </w:r>
          </w:p>
        </w:tc>
        <w:tc>
          <w:tcPr>
            <w:tcW w:w="2766" w:type="dxa"/>
          </w:tcPr>
          <w:p w14:paraId="6A7A314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Optimized Design Guidelines and Best Practices for integrating on-site renewable energy systems into circular construction projects, considering factors such as site conditions, building orientation, and energy demand profiles.</w:t>
            </w:r>
          </w:p>
        </w:tc>
      </w:tr>
      <w:tr w:rsidR="003202F1" w:rsidRPr="00FD71BF" w14:paraId="3E8CB9D2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5135F98B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EB33A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5CCF0457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0CE65BF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Technological Advancements in Renewable Energy:</w:t>
            </w:r>
          </w:p>
        </w:tc>
        <w:tc>
          <w:tcPr>
            <w:tcW w:w="2593" w:type="dxa"/>
          </w:tcPr>
          <w:p w14:paraId="7C61FA5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Explore advancements in renewable energy technologies, materials, and components that enhance efficiency, reliability, and scalability for on-site energy generation.</w:t>
            </w:r>
          </w:p>
        </w:tc>
        <w:tc>
          <w:tcPr>
            <w:tcW w:w="1973" w:type="dxa"/>
          </w:tcPr>
          <w:p w14:paraId="55CD30D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3BD6CD1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Collaborate with researchers and industry partners to prototype and test innovative renewable energy solutions suitable for circular construction projects.</w:t>
            </w:r>
          </w:p>
        </w:tc>
        <w:tc>
          <w:tcPr>
            <w:tcW w:w="2766" w:type="dxa"/>
          </w:tcPr>
          <w:p w14:paraId="3A85EAC7" w14:textId="63F46A88" w:rsidR="003202F1" w:rsidRPr="00FD71BF" w:rsidRDefault="003202F1" w:rsidP="00E454BA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Projects and </w:t>
            </w:r>
            <w:r w:rsidR="00E454BA" w:rsidRPr="00FD71BF">
              <w:rPr>
                <w:rFonts w:cstheme="minorHAnsi"/>
                <w:sz w:val="16"/>
                <w:szCs w:val="16"/>
              </w:rPr>
              <w:t>c</w:t>
            </w:r>
            <w:r w:rsidRPr="00FD71BF">
              <w:rPr>
                <w:rFonts w:cstheme="minorHAnsi"/>
                <w:sz w:val="16"/>
                <w:szCs w:val="16"/>
              </w:rPr>
              <w:t xml:space="preserve">ase </w:t>
            </w:r>
            <w:r w:rsidR="00E454BA" w:rsidRPr="00FD71BF">
              <w:rPr>
                <w:rFonts w:cstheme="minorHAnsi"/>
                <w:sz w:val="16"/>
                <w:szCs w:val="16"/>
              </w:rPr>
              <w:t>s</w:t>
            </w:r>
            <w:r w:rsidRPr="00FD71BF">
              <w:rPr>
                <w:rFonts w:cstheme="minorHAnsi"/>
                <w:sz w:val="16"/>
                <w:szCs w:val="16"/>
              </w:rPr>
              <w:t>tudies showcasing successful examples of circular buildings and infrastructure with integrated renewable energy systems through demonstration projects, case studies, and performance evaluations.</w:t>
            </w:r>
          </w:p>
        </w:tc>
      </w:tr>
      <w:tr w:rsidR="003202F1" w:rsidRPr="00FD71BF" w14:paraId="411A2571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37C18BD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171EE68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177E11E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Environmental</w:t>
            </w:r>
          </w:p>
        </w:tc>
        <w:tc>
          <w:tcPr>
            <w:tcW w:w="1354" w:type="dxa"/>
          </w:tcPr>
          <w:p w14:paraId="5A816405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Energy Storage and Management Strategies:</w:t>
            </w:r>
          </w:p>
        </w:tc>
        <w:tc>
          <w:tcPr>
            <w:tcW w:w="2593" w:type="dxa"/>
          </w:tcPr>
          <w:p w14:paraId="30E6E7E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Investigate energy storage technologies and management strategies (e.g., battery storage, thermal energy storage) to enhance the reliability and resilience of on-site renewable energy systems.</w:t>
            </w:r>
          </w:p>
        </w:tc>
        <w:tc>
          <w:tcPr>
            <w:tcW w:w="1973" w:type="dxa"/>
          </w:tcPr>
          <w:p w14:paraId="255AC1A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25C4543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techno-economic analyses, simulation studies, and field experiments to evaluate the performance and feasibility of different energy storage options.</w:t>
            </w:r>
          </w:p>
        </w:tc>
        <w:tc>
          <w:tcPr>
            <w:tcW w:w="2766" w:type="dxa"/>
          </w:tcPr>
          <w:p w14:paraId="77DF004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Evidence-based policy recommendations to policymakers, regulators, and industry stakeholders to support the widespread adoption and deployment of on-site renewable energy systems in circular construction projects.</w:t>
            </w:r>
          </w:p>
        </w:tc>
      </w:tr>
      <w:tr w:rsidR="003202F1" w:rsidRPr="00FD71BF" w14:paraId="37468CD1" w14:textId="77777777" w:rsidTr="00E700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231B39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6688B17F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250E54E4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Technical</w:t>
            </w:r>
          </w:p>
        </w:tc>
        <w:tc>
          <w:tcPr>
            <w:tcW w:w="1354" w:type="dxa"/>
          </w:tcPr>
          <w:p w14:paraId="31DB7D0E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Grid Integration and Smart Energy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Systems</w:t>
            </w:r>
          </w:p>
        </w:tc>
        <w:tc>
          <w:tcPr>
            <w:tcW w:w="2593" w:type="dxa"/>
          </w:tcPr>
          <w:p w14:paraId="4C594DD7" w14:textId="7D5792B4" w:rsidR="003202F1" w:rsidRPr="00FD71BF" w:rsidRDefault="003202F1" w:rsidP="00984797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Explore strategies for integrating on-site renewable energy systems and developing smart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energy management systems that optimize energy use, storage, and distribution.</w:t>
            </w:r>
          </w:p>
        </w:tc>
        <w:tc>
          <w:tcPr>
            <w:tcW w:w="1973" w:type="dxa"/>
          </w:tcPr>
          <w:p w14:paraId="190BFD16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7BF8EF82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Collaborate with utilities, grid operators, and technology providers to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design and implement grid-friendly renewable energy solutions for circular construction projects.</w:t>
            </w:r>
          </w:p>
        </w:tc>
        <w:tc>
          <w:tcPr>
            <w:tcW w:w="2766" w:type="dxa"/>
          </w:tcPr>
          <w:p w14:paraId="1809491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lastRenderedPageBreak/>
              <w:t xml:space="preserve">Technology transfer and innovation adoption by disseminating research findings, organizing training </w:t>
            </w:r>
            <w:r w:rsidRPr="00FD71BF">
              <w:rPr>
                <w:rFonts w:cstheme="minorHAnsi"/>
                <w:sz w:val="16"/>
                <w:szCs w:val="16"/>
              </w:rPr>
              <w:lastRenderedPageBreak/>
              <w:t>workshops, and fostering collaboration between researchers, industry partners, and technology providers.</w:t>
            </w:r>
          </w:p>
        </w:tc>
      </w:tr>
      <w:tr w:rsidR="003202F1" w:rsidRPr="00FD71BF" w14:paraId="689A07E2" w14:textId="77777777" w:rsidTr="00E700D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" w:type="dxa"/>
          </w:tcPr>
          <w:p w14:paraId="2894F901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320" w:type="dxa"/>
          </w:tcPr>
          <w:p w14:paraId="76217559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26" w:type="dxa"/>
          </w:tcPr>
          <w:p w14:paraId="7C9FDD4D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 xml:space="preserve">Policy </w:t>
            </w:r>
          </w:p>
        </w:tc>
        <w:tc>
          <w:tcPr>
            <w:tcW w:w="1354" w:type="dxa"/>
          </w:tcPr>
          <w:p w14:paraId="1BF9CA7C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Policy and Regulatory Frameworks</w:t>
            </w:r>
          </w:p>
        </w:tc>
        <w:tc>
          <w:tcPr>
            <w:tcW w:w="2593" w:type="dxa"/>
          </w:tcPr>
          <w:p w14:paraId="58D9C618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Analyze the impact of policies, regulations, and financial incentives on the adoption and deployment of on-site renewable energy systems in circular construction projects.</w:t>
            </w:r>
          </w:p>
        </w:tc>
        <w:tc>
          <w:tcPr>
            <w:tcW w:w="1973" w:type="dxa"/>
          </w:tcPr>
          <w:p w14:paraId="359178C3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02" w:type="dxa"/>
          </w:tcPr>
          <w:p w14:paraId="28D295DA" w14:textId="77777777" w:rsidR="003202F1" w:rsidRPr="00FD71BF" w:rsidRDefault="003202F1" w:rsidP="00F5335E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Conduct policy reviews, stakeholder consultations, and economic assessments to identify barriers and opportunities for policy intervention.</w:t>
            </w:r>
          </w:p>
        </w:tc>
        <w:tc>
          <w:tcPr>
            <w:tcW w:w="2766" w:type="dxa"/>
          </w:tcPr>
          <w:p w14:paraId="31CB8AD6" w14:textId="4598C834" w:rsidR="003202F1" w:rsidRPr="00FD71BF" w:rsidRDefault="00984797" w:rsidP="00984797">
            <w:pPr>
              <w:pStyle w:val="MDPI42tablebody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FD71BF">
              <w:rPr>
                <w:rFonts w:cstheme="minorHAnsi"/>
                <w:sz w:val="16"/>
                <w:szCs w:val="16"/>
              </w:rPr>
              <w:t>Q</w:t>
            </w:r>
            <w:r w:rsidR="003202F1" w:rsidRPr="00FD71BF">
              <w:rPr>
                <w:rFonts w:cstheme="minorHAnsi"/>
                <w:sz w:val="16"/>
                <w:szCs w:val="16"/>
              </w:rPr>
              <w:t>uantifying environmental and economic benefits of integrating on-site renewable energy systems into circular construction projects through life cycle assessments, cost-benefit analyses, and return on investment calculations.</w:t>
            </w:r>
          </w:p>
        </w:tc>
      </w:tr>
    </w:tbl>
    <w:p w14:paraId="782D68A0" w14:textId="77777777" w:rsidR="003202F1" w:rsidRPr="00FD71BF" w:rsidRDefault="003202F1" w:rsidP="00F5335E">
      <w:pPr>
        <w:pStyle w:val="MDPI43tablefooter"/>
        <w:spacing w:line="240" w:lineRule="auto"/>
        <w:rPr>
          <w:rFonts w:cstheme="minorHAnsi"/>
          <w:sz w:val="16"/>
          <w:szCs w:val="16"/>
        </w:rPr>
      </w:pPr>
    </w:p>
    <w:p w14:paraId="1FD7C3B8" w14:textId="7F3E5DA2" w:rsidR="003202F1" w:rsidRPr="00FD71BF" w:rsidRDefault="003202F1" w:rsidP="00F5335E">
      <w:pPr>
        <w:jc w:val="both"/>
        <w:rPr>
          <w:rFonts w:ascii="Palatino Linotype" w:hAnsi="Palatino Linotype" w:cstheme="minorHAnsi"/>
          <w:sz w:val="16"/>
          <w:szCs w:val="16"/>
        </w:rPr>
      </w:pPr>
    </w:p>
    <w:sectPr w:rsidR="003202F1" w:rsidRPr="00FD71BF" w:rsidSect="003202F1">
      <w:footerReference w:type="default" r:id="rId10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5B3813" w14:textId="77777777" w:rsidR="00FB2CA4" w:rsidRDefault="00FB2CA4" w:rsidP="0055696A">
      <w:pPr>
        <w:spacing w:after="0" w:line="240" w:lineRule="auto"/>
      </w:pPr>
      <w:r>
        <w:separator/>
      </w:r>
    </w:p>
  </w:endnote>
  <w:endnote w:type="continuationSeparator" w:id="0">
    <w:p w14:paraId="38B61E6A" w14:textId="77777777" w:rsidR="00FB2CA4" w:rsidRDefault="00FB2CA4" w:rsidP="00556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auto"/>
    <w:pitch w:val="variable"/>
    <w:sig w:usb0="001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909235"/>
      <w:docPartObj>
        <w:docPartGallery w:val="Page Numbers (Bottom of Page)"/>
        <w:docPartUnique/>
      </w:docPartObj>
    </w:sdtPr>
    <w:sdtContent>
      <w:p w14:paraId="6EF3182C" w14:textId="77777777" w:rsidR="00DA0E8A" w:rsidRDefault="00DA0E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1AD6">
          <w:rPr>
            <w:noProof/>
          </w:rPr>
          <w:t>1</w:t>
        </w:r>
        <w:r>
          <w:fldChar w:fldCharType="end"/>
        </w:r>
      </w:p>
    </w:sdtContent>
  </w:sdt>
  <w:p w14:paraId="7EF3482B" w14:textId="77777777" w:rsidR="00DA0E8A" w:rsidRDefault="00DA0E8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625AFC" w14:textId="77777777" w:rsidR="00FB2CA4" w:rsidRDefault="00FB2CA4" w:rsidP="0055696A">
      <w:pPr>
        <w:spacing w:after="0" w:line="240" w:lineRule="auto"/>
      </w:pPr>
      <w:r>
        <w:separator/>
      </w:r>
    </w:p>
  </w:footnote>
  <w:footnote w:type="continuationSeparator" w:id="0">
    <w:p w14:paraId="2CA7E16B" w14:textId="77777777" w:rsidR="00FB2CA4" w:rsidRDefault="00FB2CA4" w:rsidP="00556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68D0"/>
    <w:multiLevelType w:val="hybridMultilevel"/>
    <w:tmpl w:val="054A593C"/>
    <w:lvl w:ilvl="0" w:tplc="5216A9FE">
      <w:start w:val="1"/>
      <w:numFmt w:val="decimal"/>
      <w:lvlRestart w:val="0"/>
      <w:pStyle w:val="MDPI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468F5"/>
    <w:multiLevelType w:val="hybridMultilevel"/>
    <w:tmpl w:val="67F0D062"/>
    <w:lvl w:ilvl="0" w:tplc="0B74C6CE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C6F5D"/>
    <w:multiLevelType w:val="hybridMultilevel"/>
    <w:tmpl w:val="8BFE0D56"/>
    <w:lvl w:ilvl="0" w:tplc="CCCE9BD4">
      <w:start w:val="1"/>
      <w:numFmt w:val="bullet"/>
      <w:lvlRestart w:val="0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3">
    <w:nsid w:val="22A71D87"/>
    <w:multiLevelType w:val="hybridMultilevel"/>
    <w:tmpl w:val="9FBC5E02"/>
    <w:lvl w:ilvl="0" w:tplc="985A5EF6">
      <w:start w:val="1"/>
      <w:numFmt w:val="decimal"/>
      <w:lvlRestart w:val="0"/>
      <w:pStyle w:val="MDPI71References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A245F"/>
    <w:multiLevelType w:val="hybridMultilevel"/>
    <w:tmpl w:val="29E20A30"/>
    <w:lvl w:ilvl="0" w:tplc="1AF444C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9426D"/>
    <w:multiLevelType w:val="hybridMultilevel"/>
    <w:tmpl w:val="2D407F76"/>
    <w:lvl w:ilvl="0" w:tplc="ED42950A">
      <w:start w:val="1"/>
      <w:numFmt w:val="decimal"/>
      <w:lvlRestart w:val="0"/>
      <w:pStyle w:val="MDPI37itemize"/>
      <w:lvlText w:val="%1."/>
      <w:lvlJc w:val="left"/>
      <w:pPr>
        <w:ind w:left="3033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6">
    <w:nsid w:val="2805051C"/>
    <w:multiLevelType w:val="hybridMultilevel"/>
    <w:tmpl w:val="D6480D34"/>
    <w:lvl w:ilvl="0" w:tplc="CDCEE7DA">
      <w:start w:val="1"/>
      <w:numFmt w:val="decimal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82E1BA0"/>
    <w:multiLevelType w:val="hybridMultilevel"/>
    <w:tmpl w:val="EF3C6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9A6535"/>
    <w:multiLevelType w:val="hybridMultilevel"/>
    <w:tmpl w:val="3CB68362"/>
    <w:lvl w:ilvl="0" w:tplc="B236704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097427"/>
    <w:multiLevelType w:val="hybridMultilevel"/>
    <w:tmpl w:val="B4186CE2"/>
    <w:lvl w:ilvl="0" w:tplc="04090017">
      <w:start w:val="1"/>
      <w:numFmt w:val="lowerLetter"/>
      <w:lvlText w:val="%1)"/>
      <w:lvlJc w:val="left"/>
      <w:pPr>
        <w:ind w:left="3328" w:hanging="360"/>
      </w:p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abstractNum w:abstractNumId="10">
    <w:nsid w:val="3AD06AD4"/>
    <w:multiLevelType w:val="multilevel"/>
    <w:tmpl w:val="0EBCB1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F04F05"/>
    <w:multiLevelType w:val="multilevel"/>
    <w:tmpl w:val="8C368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E2771B"/>
    <w:multiLevelType w:val="hybridMultilevel"/>
    <w:tmpl w:val="A2A06AAC"/>
    <w:lvl w:ilvl="0" w:tplc="C788203A">
      <w:start w:val="1"/>
      <w:numFmt w:val="decimal"/>
      <w:lvlRestart w:val="0"/>
      <w:lvlText w:val="%1"/>
      <w:lvlJc w:val="left"/>
      <w:pPr>
        <w:ind w:left="425" w:hanging="425"/>
      </w:pPr>
      <w:rPr>
        <w:rFonts w:hint="eastAsia"/>
        <w:caps w:val="0"/>
        <w:strike w:val="0"/>
        <w:dstrike w:val="0"/>
        <w:vanish w:val="0"/>
        <w:sz w:val="1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075B53"/>
    <w:multiLevelType w:val="hybridMultilevel"/>
    <w:tmpl w:val="A0DCA02E"/>
    <w:lvl w:ilvl="0" w:tplc="5CB0595C">
      <w:start w:val="1"/>
      <w:numFmt w:val="decimal"/>
      <w:lvlRestart w:val="0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4">
    <w:nsid w:val="706D5736"/>
    <w:multiLevelType w:val="hybridMultilevel"/>
    <w:tmpl w:val="7E201858"/>
    <w:lvl w:ilvl="0" w:tplc="7736F520">
      <w:start w:val="1"/>
      <w:numFmt w:val="decimal"/>
      <w:lvlRestart w:val="0"/>
      <w:lvlText w:val="%1."/>
      <w:lvlJc w:val="left"/>
      <w:pPr>
        <w:ind w:left="425" w:hanging="425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3"/>
  </w:num>
  <w:num w:numId="8">
    <w:abstractNumId w:val="2"/>
  </w:num>
  <w:num w:numId="9">
    <w:abstractNumId w:val="14"/>
  </w:num>
  <w:num w:numId="10">
    <w:abstractNumId w:val="1"/>
  </w:num>
  <w:num w:numId="11">
    <w:abstractNumId w:val="12"/>
  </w:num>
  <w:num w:numId="12">
    <w:abstractNumId w:val="0"/>
  </w:num>
  <w:num w:numId="13">
    <w:abstractNumId w:val="5"/>
  </w:num>
  <w:num w:numId="14">
    <w:abstractNumId w:val="3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FF8"/>
    <w:rsid w:val="00005AA9"/>
    <w:rsid w:val="00006CB0"/>
    <w:rsid w:val="000140A4"/>
    <w:rsid w:val="00023119"/>
    <w:rsid w:val="00035E1F"/>
    <w:rsid w:val="00035F8B"/>
    <w:rsid w:val="00053235"/>
    <w:rsid w:val="000615A6"/>
    <w:rsid w:val="000703A5"/>
    <w:rsid w:val="00070836"/>
    <w:rsid w:val="00070A2A"/>
    <w:rsid w:val="00071304"/>
    <w:rsid w:val="0008032A"/>
    <w:rsid w:val="000920FA"/>
    <w:rsid w:val="000A207F"/>
    <w:rsid w:val="000B7B66"/>
    <w:rsid w:val="000C45FD"/>
    <w:rsid w:val="000E526A"/>
    <w:rsid w:val="00101BD7"/>
    <w:rsid w:val="00124D8F"/>
    <w:rsid w:val="00131D6E"/>
    <w:rsid w:val="00167335"/>
    <w:rsid w:val="0017046F"/>
    <w:rsid w:val="001721C0"/>
    <w:rsid w:val="00176363"/>
    <w:rsid w:val="00177987"/>
    <w:rsid w:val="0018375D"/>
    <w:rsid w:val="00190E44"/>
    <w:rsid w:val="00195A88"/>
    <w:rsid w:val="001B76AA"/>
    <w:rsid w:val="001B7ED7"/>
    <w:rsid w:val="001C23AD"/>
    <w:rsid w:val="001D3A6F"/>
    <w:rsid w:val="001F0DA0"/>
    <w:rsid w:val="00200540"/>
    <w:rsid w:val="0021361F"/>
    <w:rsid w:val="00220659"/>
    <w:rsid w:val="0024083C"/>
    <w:rsid w:val="00245DBF"/>
    <w:rsid w:val="0027182D"/>
    <w:rsid w:val="00275783"/>
    <w:rsid w:val="002777F9"/>
    <w:rsid w:val="00281319"/>
    <w:rsid w:val="00281A96"/>
    <w:rsid w:val="00295643"/>
    <w:rsid w:val="002C0290"/>
    <w:rsid w:val="002C38FF"/>
    <w:rsid w:val="002C74F5"/>
    <w:rsid w:val="002E250A"/>
    <w:rsid w:val="002F22A5"/>
    <w:rsid w:val="002F2DCB"/>
    <w:rsid w:val="002F7255"/>
    <w:rsid w:val="00305DE8"/>
    <w:rsid w:val="003202F1"/>
    <w:rsid w:val="003424AF"/>
    <w:rsid w:val="00352817"/>
    <w:rsid w:val="00352854"/>
    <w:rsid w:val="00356B04"/>
    <w:rsid w:val="00364060"/>
    <w:rsid w:val="003654D6"/>
    <w:rsid w:val="00365832"/>
    <w:rsid w:val="00374338"/>
    <w:rsid w:val="0039016C"/>
    <w:rsid w:val="003A42D7"/>
    <w:rsid w:val="003A5ACC"/>
    <w:rsid w:val="003B2815"/>
    <w:rsid w:val="003C53B6"/>
    <w:rsid w:val="003C751C"/>
    <w:rsid w:val="003E44AC"/>
    <w:rsid w:val="003F3BEB"/>
    <w:rsid w:val="003F56F4"/>
    <w:rsid w:val="00411451"/>
    <w:rsid w:val="00427D8A"/>
    <w:rsid w:val="0043080B"/>
    <w:rsid w:val="004577C5"/>
    <w:rsid w:val="00481251"/>
    <w:rsid w:val="00490648"/>
    <w:rsid w:val="00495FF2"/>
    <w:rsid w:val="004C5A35"/>
    <w:rsid w:val="004C5E18"/>
    <w:rsid w:val="004C6B8D"/>
    <w:rsid w:val="004D7CAF"/>
    <w:rsid w:val="004E3353"/>
    <w:rsid w:val="004E634D"/>
    <w:rsid w:val="004E7AC3"/>
    <w:rsid w:val="00505EB9"/>
    <w:rsid w:val="00551AD6"/>
    <w:rsid w:val="00551F26"/>
    <w:rsid w:val="0055696A"/>
    <w:rsid w:val="00562A2E"/>
    <w:rsid w:val="005722DD"/>
    <w:rsid w:val="00572B04"/>
    <w:rsid w:val="00580E7B"/>
    <w:rsid w:val="00592858"/>
    <w:rsid w:val="00597F43"/>
    <w:rsid w:val="005A2BD5"/>
    <w:rsid w:val="005B3CFC"/>
    <w:rsid w:val="005B75EA"/>
    <w:rsid w:val="005F6734"/>
    <w:rsid w:val="00604162"/>
    <w:rsid w:val="00644F8C"/>
    <w:rsid w:val="0064663A"/>
    <w:rsid w:val="00661A5C"/>
    <w:rsid w:val="006642DB"/>
    <w:rsid w:val="00671264"/>
    <w:rsid w:val="006811C5"/>
    <w:rsid w:val="00693B08"/>
    <w:rsid w:val="006A7A3E"/>
    <w:rsid w:val="006B546D"/>
    <w:rsid w:val="006C1EAC"/>
    <w:rsid w:val="006C7699"/>
    <w:rsid w:val="006E47D5"/>
    <w:rsid w:val="006E64D0"/>
    <w:rsid w:val="006F6520"/>
    <w:rsid w:val="006F6FAE"/>
    <w:rsid w:val="00706961"/>
    <w:rsid w:val="0072782A"/>
    <w:rsid w:val="0074092B"/>
    <w:rsid w:val="00740A32"/>
    <w:rsid w:val="00745114"/>
    <w:rsid w:val="00745363"/>
    <w:rsid w:val="00745586"/>
    <w:rsid w:val="00777972"/>
    <w:rsid w:val="00780450"/>
    <w:rsid w:val="00786B8A"/>
    <w:rsid w:val="007967E0"/>
    <w:rsid w:val="007A67C3"/>
    <w:rsid w:val="007A7FF8"/>
    <w:rsid w:val="007C1EC8"/>
    <w:rsid w:val="007C608C"/>
    <w:rsid w:val="007C62E1"/>
    <w:rsid w:val="007D6C29"/>
    <w:rsid w:val="007E69E3"/>
    <w:rsid w:val="00800F05"/>
    <w:rsid w:val="008068E8"/>
    <w:rsid w:val="00820EE6"/>
    <w:rsid w:val="008275F3"/>
    <w:rsid w:val="00834191"/>
    <w:rsid w:val="00840D4A"/>
    <w:rsid w:val="00855F91"/>
    <w:rsid w:val="00865E16"/>
    <w:rsid w:val="008853A1"/>
    <w:rsid w:val="00891610"/>
    <w:rsid w:val="00891797"/>
    <w:rsid w:val="008A3546"/>
    <w:rsid w:val="008C345F"/>
    <w:rsid w:val="008D2BC2"/>
    <w:rsid w:val="008D548E"/>
    <w:rsid w:val="008D6909"/>
    <w:rsid w:val="008E02CD"/>
    <w:rsid w:val="008F0C9D"/>
    <w:rsid w:val="008F540F"/>
    <w:rsid w:val="008F56DB"/>
    <w:rsid w:val="00903696"/>
    <w:rsid w:val="00914CFF"/>
    <w:rsid w:val="00915044"/>
    <w:rsid w:val="00915531"/>
    <w:rsid w:val="009248E7"/>
    <w:rsid w:val="00945A29"/>
    <w:rsid w:val="00972494"/>
    <w:rsid w:val="009778CB"/>
    <w:rsid w:val="00984797"/>
    <w:rsid w:val="009901FB"/>
    <w:rsid w:val="009911BF"/>
    <w:rsid w:val="009B09A9"/>
    <w:rsid w:val="009B7FAA"/>
    <w:rsid w:val="009C251A"/>
    <w:rsid w:val="009D12EF"/>
    <w:rsid w:val="009D1B30"/>
    <w:rsid w:val="009D7577"/>
    <w:rsid w:val="00A00CC2"/>
    <w:rsid w:val="00A100A3"/>
    <w:rsid w:val="00A14649"/>
    <w:rsid w:val="00A24567"/>
    <w:rsid w:val="00A3659B"/>
    <w:rsid w:val="00A42EA8"/>
    <w:rsid w:val="00A63B8B"/>
    <w:rsid w:val="00A67A34"/>
    <w:rsid w:val="00A733C3"/>
    <w:rsid w:val="00A82D36"/>
    <w:rsid w:val="00AB2A37"/>
    <w:rsid w:val="00AE2778"/>
    <w:rsid w:val="00AE3B50"/>
    <w:rsid w:val="00AF6BD3"/>
    <w:rsid w:val="00B15BC9"/>
    <w:rsid w:val="00B215FB"/>
    <w:rsid w:val="00B26A2C"/>
    <w:rsid w:val="00B74A28"/>
    <w:rsid w:val="00B75A78"/>
    <w:rsid w:val="00B77DAD"/>
    <w:rsid w:val="00B928E2"/>
    <w:rsid w:val="00B970B5"/>
    <w:rsid w:val="00BB1C60"/>
    <w:rsid w:val="00BD3E3A"/>
    <w:rsid w:val="00BE4203"/>
    <w:rsid w:val="00BE60FE"/>
    <w:rsid w:val="00C00402"/>
    <w:rsid w:val="00C20412"/>
    <w:rsid w:val="00C25331"/>
    <w:rsid w:val="00C3077B"/>
    <w:rsid w:val="00C30BC2"/>
    <w:rsid w:val="00C72A91"/>
    <w:rsid w:val="00C74D9E"/>
    <w:rsid w:val="00C81C3B"/>
    <w:rsid w:val="00C8767C"/>
    <w:rsid w:val="00C87763"/>
    <w:rsid w:val="00CA51DA"/>
    <w:rsid w:val="00CD1FC5"/>
    <w:rsid w:val="00CF671F"/>
    <w:rsid w:val="00CF7C33"/>
    <w:rsid w:val="00D0296B"/>
    <w:rsid w:val="00D1733B"/>
    <w:rsid w:val="00D21B00"/>
    <w:rsid w:val="00D2465F"/>
    <w:rsid w:val="00D315E8"/>
    <w:rsid w:val="00D352F8"/>
    <w:rsid w:val="00D424D7"/>
    <w:rsid w:val="00D45271"/>
    <w:rsid w:val="00D51D56"/>
    <w:rsid w:val="00D627CD"/>
    <w:rsid w:val="00D80597"/>
    <w:rsid w:val="00D82F43"/>
    <w:rsid w:val="00DA0331"/>
    <w:rsid w:val="00DA0E8A"/>
    <w:rsid w:val="00DC24EB"/>
    <w:rsid w:val="00DC57D4"/>
    <w:rsid w:val="00DD156B"/>
    <w:rsid w:val="00DD4666"/>
    <w:rsid w:val="00DF1C88"/>
    <w:rsid w:val="00DF4CBB"/>
    <w:rsid w:val="00E27F39"/>
    <w:rsid w:val="00E37B0B"/>
    <w:rsid w:val="00E454BA"/>
    <w:rsid w:val="00E54D39"/>
    <w:rsid w:val="00E60DC3"/>
    <w:rsid w:val="00E6509E"/>
    <w:rsid w:val="00E700D9"/>
    <w:rsid w:val="00E703BE"/>
    <w:rsid w:val="00E839C7"/>
    <w:rsid w:val="00E90473"/>
    <w:rsid w:val="00E951E9"/>
    <w:rsid w:val="00E9692D"/>
    <w:rsid w:val="00EA7146"/>
    <w:rsid w:val="00EE6897"/>
    <w:rsid w:val="00EF0157"/>
    <w:rsid w:val="00EF47B6"/>
    <w:rsid w:val="00F04D92"/>
    <w:rsid w:val="00F07016"/>
    <w:rsid w:val="00F31B9A"/>
    <w:rsid w:val="00F411BF"/>
    <w:rsid w:val="00F51792"/>
    <w:rsid w:val="00F5335E"/>
    <w:rsid w:val="00F7074B"/>
    <w:rsid w:val="00F76AB5"/>
    <w:rsid w:val="00F83B1F"/>
    <w:rsid w:val="00F9252C"/>
    <w:rsid w:val="00F9355A"/>
    <w:rsid w:val="00F93645"/>
    <w:rsid w:val="00FB16A9"/>
    <w:rsid w:val="00FB2CA4"/>
    <w:rsid w:val="00FB65E3"/>
    <w:rsid w:val="00FB70F2"/>
    <w:rsid w:val="00FD527C"/>
    <w:rsid w:val="00FD650D"/>
    <w:rsid w:val="00FD71BF"/>
    <w:rsid w:val="00FE5CD3"/>
    <w:rsid w:val="00FE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4240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1">
    <w:name w:val="Plain Table 21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56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96A"/>
  </w:style>
  <w:style w:type="paragraph" w:styleId="Footer">
    <w:name w:val="footer"/>
    <w:basedOn w:val="Normal"/>
    <w:link w:val="FooterChar"/>
    <w:uiPriority w:val="99"/>
    <w:unhideWhenUsed/>
    <w:rsid w:val="00556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96A"/>
  </w:style>
  <w:style w:type="table" w:customStyle="1" w:styleId="PlainTable211">
    <w:name w:val="Plain Table 211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">
    <w:name w:val="Plain Table 212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202F1"/>
    <w:rPr>
      <w:color w:val="0000FF" w:themeColor="hyperlink"/>
      <w:u w:val="single"/>
    </w:rPr>
  </w:style>
  <w:style w:type="paragraph" w:customStyle="1" w:styleId="MDPI11articletype">
    <w:name w:val="MDPI_1.1_article_type"/>
    <w:next w:val="Normal"/>
    <w:qFormat/>
    <w:rsid w:val="003202F1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3202F1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3202F1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3202F1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eastAsia="de-DE" w:bidi="en-US"/>
    </w:rPr>
  </w:style>
  <w:style w:type="paragraph" w:customStyle="1" w:styleId="MDPI16affiliation">
    <w:name w:val="MDPI_1.6_affiliation"/>
    <w:qFormat/>
    <w:rsid w:val="003202F1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3202F1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8keywords">
    <w:name w:val="MDPI_1.8_keywords"/>
    <w:next w:val="Normal"/>
    <w:qFormat/>
    <w:rsid w:val="003202F1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eastAsia="de-DE" w:bidi="en-US"/>
    </w:rPr>
  </w:style>
  <w:style w:type="paragraph" w:customStyle="1" w:styleId="MDPI19line">
    <w:name w:val="MDPI_1.9_line"/>
    <w:qFormat/>
    <w:rsid w:val="003202F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3202F1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headerjournallogo">
    <w:name w:val="MDPI_header_journal_logo"/>
    <w:qFormat/>
    <w:rsid w:val="003202F1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3202F1"/>
    <w:pPr>
      <w:ind w:firstLine="0"/>
    </w:pPr>
  </w:style>
  <w:style w:type="paragraph" w:customStyle="1" w:styleId="MDPI31text">
    <w:name w:val="MDPI_3.1_text"/>
    <w:qFormat/>
    <w:rsid w:val="003202F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3202F1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3202F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3202F1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3202F1"/>
    <w:pPr>
      <w:numPr>
        <w:numId w:val="1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3202F1"/>
    <w:pPr>
      <w:numPr>
        <w:numId w:val="10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3202F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3202F1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3202F1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3202F1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51figurecaption">
    <w:name w:val="MDPI_5.1_figure_caption"/>
    <w:qFormat/>
    <w:rsid w:val="003202F1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3202F1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footerfirstpage">
    <w:name w:val="MDPI_footer_firstpage"/>
    <w:qFormat/>
    <w:rsid w:val="003202F1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23heading3">
    <w:name w:val="MDPI_2.3_heading3"/>
    <w:qFormat/>
    <w:rsid w:val="003202F1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1heading1">
    <w:name w:val="MDPI_2.1_heading1"/>
    <w:qFormat/>
    <w:rsid w:val="003202F1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3202F1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qFormat/>
    <w:rsid w:val="003202F1"/>
    <w:pPr>
      <w:numPr>
        <w:numId w:val="14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3202F1"/>
    <w:pPr>
      <w:spacing w:after="0" w:line="260" w:lineRule="atLeast"/>
      <w:jc w:val="both"/>
    </w:pPr>
    <w:rPr>
      <w:rFonts w:ascii="Palatino Linotype" w:eastAsia="SimSun" w:hAnsi="Palatino Linotype" w:cs="Tahoma"/>
      <w:noProof/>
      <w:color w:val="000000"/>
      <w:sz w:val="20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02F1"/>
    <w:rPr>
      <w:rFonts w:ascii="Palatino Linotype" w:eastAsia="SimSun" w:hAnsi="Palatino Linotype" w:cs="Tahoma"/>
      <w:noProof/>
      <w:color w:val="000000"/>
      <w:sz w:val="20"/>
      <w:szCs w:val="18"/>
      <w:lang w:eastAsia="zh-CN"/>
    </w:rPr>
  </w:style>
  <w:style w:type="character" w:styleId="LineNumber">
    <w:name w:val="line number"/>
    <w:uiPriority w:val="99"/>
    <w:rsid w:val="003202F1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3202F1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3202F1"/>
    <w:rPr>
      <w:color w:val="605E5C"/>
      <w:shd w:val="clear" w:color="auto" w:fill="E1DFDD"/>
    </w:rPr>
  </w:style>
  <w:style w:type="table" w:customStyle="1" w:styleId="PlainTable41">
    <w:name w:val="Plain Table 41"/>
    <w:basedOn w:val="TableNormal"/>
    <w:uiPriority w:val="44"/>
    <w:rsid w:val="003202F1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3202F1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81theorem">
    <w:name w:val="MDPI_8.1_theorem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61Citation">
    <w:name w:val="MDPI_6.1_Citation"/>
    <w:qFormat/>
    <w:rsid w:val="003202F1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eastAsia="zh-CN"/>
    </w:rPr>
  </w:style>
  <w:style w:type="paragraph" w:customStyle="1" w:styleId="MDPI62BackMatter">
    <w:name w:val="MDPI_6.2_BackMatter"/>
    <w:qFormat/>
    <w:rsid w:val="003202F1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3Notes">
    <w:name w:val="MDPI_6.3_Notes"/>
    <w:qFormat/>
    <w:rsid w:val="003202F1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15academiceditor">
    <w:name w:val="MDPI_1.5_academic_editor"/>
    <w:qFormat/>
    <w:rsid w:val="003202F1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eastAsia="de-DE" w:bidi="en-US"/>
    </w:rPr>
  </w:style>
  <w:style w:type="paragraph" w:customStyle="1" w:styleId="MDPI19classification">
    <w:name w:val="MDPI_1.9_classification"/>
    <w:qFormat/>
    <w:rsid w:val="003202F1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3202F1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3202F1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72Copyright">
    <w:name w:val="MDPI_7.2_Copyright"/>
    <w:qFormat/>
    <w:rsid w:val="003202F1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3202F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equationFram">
    <w:name w:val="MDPI_equationFram"/>
    <w:qFormat/>
    <w:rsid w:val="003202F1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3202F1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header">
    <w:name w:val="MDPI_header"/>
    <w:qFormat/>
    <w:rsid w:val="003202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3202F1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3202F1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table" w:customStyle="1" w:styleId="MDPITable">
    <w:name w:val="MDPI_Table"/>
    <w:basedOn w:val="TableNormal"/>
    <w:uiPriority w:val="99"/>
    <w:rsid w:val="003202F1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DPItext">
    <w:name w:val="MDPI_text"/>
    <w:qFormat/>
    <w:rsid w:val="003202F1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3202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3202F1"/>
  </w:style>
  <w:style w:type="paragraph" w:styleId="Bibliography">
    <w:name w:val="Bibliography"/>
    <w:basedOn w:val="Normal"/>
    <w:next w:val="Normal"/>
    <w:uiPriority w:val="37"/>
    <w:semiHidden/>
    <w:unhideWhenUsed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BodyText">
    <w:name w:val="Body Text"/>
    <w:link w:val="BodyTextChar"/>
    <w:rsid w:val="003202F1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3202F1"/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styleId="CommentReference">
    <w:name w:val="annotation reference"/>
    <w:rsid w:val="003202F1"/>
    <w:rPr>
      <w:sz w:val="21"/>
      <w:szCs w:val="21"/>
    </w:rPr>
  </w:style>
  <w:style w:type="paragraph" w:styleId="CommentText">
    <w:name w:val="annotation text"/>
    <w:basedOn w:val="Normal"/>
    <w:link w:val="CommentTextChar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20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02F1"/>
    <w:rPr>
      <w:rFonts w:ascii="Palatino Linotype" w:eastAsia="SimSun" w:hAnsi="Palatino Linotype" w:cs="Times New Roman"/>
      <w:b/>
      <w:bCs/>
      <w:noProof/>
      <w:color w:val="000000"/>
      <w:sz w:val="20"/>
      <w:szCs w:val="20"/>
      <w:lang w:eastAsia="zh-CN"/>
    </w:rPr>
  </w:style>
  <w:style w:type="character" w:styleId="EndnoteReference">
    <w:name w:val="endnote reference"/>
    <w:rsid w:val="003202F1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202F1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semiHidden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styleId="FollowedHyperlink">
    <w:name w:val="FollowedHyperlink"/>
    <w:rsid w:val="003202F1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202F1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4"/>
      <w:lang w:eastAsia="zh-CN"/>
    </w:rPr>
  </w:style>
  <w:style w:type="paragraph" w:customStyle="1" w:styleId="MsoFootnoteText0">
    <w:name w:val="MsoFootnoteText"/>
    <w:basedOn w:val="NormalWeb"/>
    <w:qFormat/>
    <w:rsid w:val="003202F1"/>
    <w:rPr>
      <w:rFonts w:ascii="Times New Roman" w:hAnsi="Times New Roman"/>
    </w:rPr>
  </w:style>
  <w:style w:type="character" w:styleId="PageNumber">
    <w:name w:val="page number"/>
    <w:rsid w:val="003202F1"/>
  </w:style>
  <w:style w:type="character" w:styleId="PlaceholderText">
    <w:name w:val="Placeholder Text"/>
    <w:uiPriority w:val="99"/>
    <w:semiHidden/>
    <w:rsid w:val="003202F1"/>
    <w:rPr>
      <w:color w:val="808080"/>
    </w:rPr>
  </w:style>
  <w:style w:type="paragraph" w:customStyle="1" w:styleId="MDPI71FootNotes">
    <w:name w:val="MDPI_7.1_FootNotes"/>
    <w:qFormat/>
    <w:rsid w:val="003202F1"/>
    <w:pPr>
      <w:numPr>
        <w:numId w:val="12"/>
      </w:numPr>
      <w:adjustRightInd w:val="0"/>
      <w:snapToGrid w:val="0"/>
      <w:spacing w:after="0" w:line="228" w:lineRule="auto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/>
    </w:rPr>
  </w:style>
  <w:style w:type="character" w:styleId="Emphasis">
    <w:name w:val="Emphasis"/>
    <w:basedOn w:val="DefaultParagraphFont"/>
    <w:uiPriority w:val="20"/>
    <w:qFormat/>
    <w:rsid w:val="00245D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PlainTable21">
    <w:name w:val="Plain Table 21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556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696A"/>
  </w:style>
  <w:style w:type="paragraph" w:styleId="Footer">
    <w:name w:val="footer"/>
    <w:basedOn w:val="Normal"/>
    <w:link w:val="FooterChar"/>
    <w:uiPriority w:val="99"/>
    <w:unhideWhenUsed/>
    <w:rsid w:val="00556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696A"/>
  </w:style>
  <w:style w:type="table" w:customStyle="1" w:styleId="PlainTable211">
    <w:name w:val="Plain Table 211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PlainTable212">
    <w:name w:val="Plain Table 212"/>
    <w:basedOn w:val="TableNormal"/>
    <w:uiPriority w:val="42"/>
    <w:rsid w:val="0055696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3202F1"/>
    <w:rPr>
      <w:color w:val="0000FF" w:themeColor="hyperlink"/>
      <w:u w:val="single"/>
    </w:rPr>
  </w:style>
  <w:style w:type="paragraph" w:customStyle="1" w:styleId="MDPI11articletype">
    <w:name w:val="MDPI_1.1_article_type"/>
    <w:next w:val="Normal"/>
    <w:qFormat/>
    <w:rsid w:val="003202F1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12title">
    <w:name w:val="MDPI_1.2_title"/>
    <w:next w:val="Normal"/>
    <w:qFormat/>
    <w:rsid w:val="003202F1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paragraph" w:customStyle="1" w:styleId="MDPI13authornames">
    <w:name w:val="MDPI_1.3_authornames"/>
    <w:next w:val="Normal"/>
    <w:qFormat/>
    <w:rsid w:val="003202F1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14history">
    <w:name w:val="MDPI_1.4_history"/>
    <w:basedOn w:val="Normal"/>
    <w:next w:val="Normal"/>
    <w:qFormat/>
    <w:rsid w:val="003202F1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eastAsia="de-DE" w:bidi="en-US"/>
    </w:rPr>
  </w:style>
  <w:style w:type="paragraph" w:customStyle="1" w:styleId="MDPI16affiliation">
    <w:name w:val="MDPI_1.6_affiliation"/>
    <w:qFormat/>
    <w:rsid w:val="003202F1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eastAsia="de-DE" w:bidi="en-US"/>
    </w:rPr>
  </w:style>
  <w:style w:type="paragraph" w:customStyle="1" w:styleId="MDPI17abstract">
    <w:name w:val="MDPI_1.7_abstract"/>
    <w:next w:val="Normal"/>
    <w:qFormat/>
    <w:rsid w:val="003202F1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eastAsia="de-DE" w:bidi="en-US"/>
    </w:rPr>
  </w:style>
  <w:style w:type="paragraph" w:customStyle="1" w:styleId="MDPI18keywords">
    <w:name w:val="MDPI_1.8_keywords"/>
    <w:next w:val="Normal"/>
    <w:qFormat/>
    <w:rsid w:val="003202F1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eastAsia="de-DE" w:bidi="en-US"/>
    </w:rPr>
  </w:style>
  <w:style w:type="paragraph" w:customStyle="1" w:styleId="MDPI19line">
    <w:name w:val="MDPI_1.9_line"/>
    <w:qFormat/>
    <w:rsid w:val="003202F1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3202F1"/>
    <w:pPr>
      <w:adjustRightInd w:val="0"/>
      <w:snapToGrid w:val="0"/>
      <w:spacing w:after="0" w:line="300" w:lineRule="exact"/>
      <w:jc w:val="center"/>
    </w:pPr>
    <w:rPr>
      <w:rFonts w:ascii="Times New Roman" w:eastAsia="SimSun" w:hAnsi="Times New Roman" w:cs="Times New Roman"/>
      <w:sz w:val="20"/>
      <w:szCs w:val="20"/>
      <w:lang w:val="de-DE" w:eastAsia="de-DE"/>
    </w:rPr>
    <w:tblPr>
      <w:jc w:val="center"/>
      <w:tblInd w:w="0" w:type="dxa"/>
      <w:tblBorders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">
    <w:name w:val="Table Grid"/>
    <w:basedOn w:val="TableNormal"/>
    <w:uiPriority w:val="59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DPIheaderjournallogo">
    <w:name w:val="MDPI_header_journal_logo"/>
    <w:qFormat/>
    <w:rsid w:val="003202F1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eastAsia="de-CH"/>
    </w:rPr>
  </w:style>
  <w:style w:type="paragraph" w:customStyle="1" w:styleId="MDPI32textnoindent">
    <w:name w:val="MDPI_3.2_text_no_indent"/>
    <w:basedOn w:val="MDPI31text"/>
    <w:qFormat/>
    <w:rsid w:val="003202F1"/>
    <w:pPr>
      <w:ind w:firstLine="0"/>
    </w:pPr>
  </w:style>
  <w:style w:type="paragraph" w:customStyle="1" w:styleId="MDPI31text">
    <w:name w:val="MDPI_3.1_text"/>
    <w:qFormat/>
    <w:rsid w:val="003202F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3textspaceafter">
    <w:name w:val="MDPI_3.3_text_space_after"/>
    <w:qFormat/>
    <w:rsid w:val="003202F1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5textbeforelist">
    <w:name w:val="MDPI_3.5_text_before_list"/>
    <w:qFormat/>
    <w:rsid w:val="003202F1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6textafterlist">
    <w:name w:val="MDPI_3.6_text_after_list"/>
    <w:qFormat/>
    <w:rsid w:val="003202F1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7itemize">
    <w:name w:val="MDPI_3.7_itemize"/>
    <w:qFormat/>
    <w:rsid w:val="003202F1"/>
    <w:pPr>
      <w:numPr>
        <w:numId w:val="1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8bullet">
    <w:name w:val="MDPI_3.8_bullet"/>
    <w:qFormat/>
    <w:rsid w:val="003202F1"/>
    <w:pPr>
      <w:numPr>
        <w:numId w:val="10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eastAsia="de-DE" w:bidi="en-US"/>
    </w:rPr>
  </w:style>
  <w:style w:type="paragraph" w:customStyle="1" w:styleId="MDPI39equation">
    <w:name w:val="MDPI_3.9_equation"/>
    <w:qFormat/>
    <w:rsid w:val="003202F1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3aequationnumber">
    <w:name w:val="MDPI_3.a_equation_number"/>
    <w:qFormat/>
    <w:rsid w:val="003202F1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41tablecaption">
    <w:name w:val="MDPI_4.1_table_caption"/>
    <w:qFormat/>
    <w:rsid w:val="003202F1"/>
    <w:pPr>
      <w:adjustRightInd w:val="0"/>
      <w:snapToGrid w:val="0"/>
      <w:spacing w:before="240" w:after="12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42tablebody">
    <w:name w:val="MDPI_4.2_table_body"/>
    <w:qFormat/>
    <w:rsid w:val="003202F1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43tablefooter">
    <w:name w:val="MDPI_4.3_table_footer"/>
    <w:next w:val="MDPI31text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Cordia New"/>
      <w:color w:val="000000"/>
      <w:sz w:val="18"/>
      <w:lang w:eastAsia="de-DE" w:bidi="en-US"/>
    </w:rPr>
  </w:style>
  <w:style w:type="paragraph" w:customStyle="1" w:styleId="MDPI51figurecaption">
    <w:name w:val="MDPI_5.1_figure_caption"/>
    <w:qFormat/>
    <w:rsid w:val="003202F1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customStyle="1" w:styleId="MDPI52figure">
    <w:name w:val="MDPI_5.2_figure"/>
    <w:qFormat/>
    <w:rsid w:val="003202F1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eastAsia="de-DE" w:bidi="en-US"/>
    </w:rPr>
  </w:style>
  <w:style w:type="paragraph" w:customStyle="1" w:styleId="MDPIfooterfirstpage">
    <w:name w:val="MDPI_footer_firstpage"/>
    <w:qFormat/>
    <w:rsid w:val="003202F1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eastAsia="de-DE"/>
    </w:rPr>
  </w:style>
  <w:style w:type="paragraph" w:customStyle="1" w:styleId="MDPI23heading3">
    <w:name w:val="MDPI_2.3_heading3"/>
    <w:qFormat/>
    <w:rsid w:val="003202F1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21heading1">
    <w:name w:val="MDPI_2.1_heading1"/>
    <w:qFormat/>
    <w:rsid w:val="003202F1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eastAsia="de-DE" w:bidi="en-US"/>
    </w:rPr>
  </w:style>
  <w:style w:type="paragraph" w:customStyle="1" w:styleId="MDPI22heading2">
    <w:name w:val="MDPI_2.2_heading2"/>
    <w:qFormat/>
    <w:rsid w:val="003202F1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eastAsia="de-DE" w:bidi="en-US"/>
    </w:rPr>
  </w:style>
  <w:style w:type="paragraph" w:customStyle="1" w:styleId="MDPI71References">
    <w:name w:val="MDPI_7.1_References"/>
    <w:qFormat/>
    <w:rsid w:val="003202F1"/>
    <w:pPr>
      <w:numPr>
        <w:numId w:val="14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eastAsia="de-DE" w:bidi="en-US"/>
    </w:rPr>
  </w:style>
  <w:style w:type="paragraph" w:styleId="BalloonText">
    <w:name w:val="Balloon Text"/>
    <w:basedOn w:val="Normal"/>
    <w:link w:val="BalloonTextChar"/>
    <w:uiPriority w:val="99"/>
    <w:rsid w:val="003202F1"/>
    <w:pPr>
      <w:spacing w:after="0" w:line="260" w:lineRule="atLeast"/>
      <w:jc w:val="both"/>
    </w:pPr>
    <w:rPr>
      <w:rFonts w:ascii="Palatino Linotype" w:eastAsia="SimSun" w:hAnsi="Palatino Linotype" w:cs="Tahoma"/>
      <w:noProof/>
      <w:color w:val="000000"/>
      <w:sz w:val="20"/>
      <w:szCs w:val="18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202F1"/>
    <w:rPr>
      <w:rFonts w:ascii="Palatino Linotype" w:eastAsia="SimSun" w:hAnsi="Palatino Linotype" w:cs="Tahoma"/>
      <w:noProof/>
      <w:color w:val="000000"/>
      <w:sz w:val="20"/>
      <w:szCs w:val="18"/>
      <w:lang w:eastAsia="zh-CN"/>
    </w:rPr>
  </w:style>
  <w:style w:type="character" w:styleId="LineNumber">
    <w:name w:val="line number"/>
    <w:uiPriority w:val="99"/>
    <w:rsid w:val="003202F1"/>
    <w:rPr>
      <w:rFonts w:ascii="Palatino Linotype" w:hAnsi="Palatino Linotype"/>
      <w:sz w:val="16"/>
    </w:rPr>
  </w:style>
  <w:style w:type="table" w:customStyle="1" w:styleId="MDPI41threelinetable">
    <w:name w:val="MDPI_4.1_three_line_table"/>
    <w:basedOn w:val="TableNormal"/>
    <w:uiPriority w:val="99"/>
    <w:rsid w:val="003202F1"/>
    <w:pPr>
      <w:adjustRightInd w:val="0"/>
      <w:snapToGrid w:val="0"/>
      <w:spacing w:after="0" w:line="240" w:lineRule="auto"/>
      <w:jc w:val="center"/>
    </w:pPr>
    <w:rPr>
      <w:rFonts w:ascii="Palatino Linotype" w:eastAsia="SimSun" w:hAnsi="Palatino Linotype" w:cs="Times New Roman"/>
      <w:color w:val="000000"/>
      <w:sz w:val="20"/>
      <w:szCs w:val="20"/>
      <w:lang w:eastAsia="zh-CN"/>
    </w:rPr>
    <w:tblPr>
      <w:jc w:val="center"/>
      <w:tblInd w:w="0" w:type="dxa"/>
      <w:tblBorders>
        <w:top w:val="single" w:sz="8" w:space="0" w:color="auto"/>
        <w:bottom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character" w:customStyle="1" w:styleId="UnresolvedMention1">
    <w:name w:val="Unresolved Mention1"/>
    <w:uiPriority w:val="99"/>
    <w:semiHidden/>
    <w:unhideWhenUsed/>
    <w:rsid w:val="003202F1"/>
    <w:rPr>
      <w:color w:val="605E5C"/>
      <w:shd w:val="clear" w:color="auto" w:fill="E1DFDD"/>
    </w:rPr>
  </w:style>
  <w:style w:type="table" w:customStyle="1" w:styleId="PlainTable41">
    <w:name w:val="Plain Table 41"/>
    <w:basedOn w:val="TableNormal"/>
    <w:uiPriority w:val="44"/>
    <w:rsid w:val="003202F1"/>
    <w:pPr>
      <w:spacing w:after="0" w:line="240" w:lineRule="auto"/>
    </w:pPr>
    <w:rPr>
      <w:rFonts w:ascii="Calibri" w:eastAsia="SimSun" w:hAnsi="Calibri" w:cs="Times New Roman"/>
      <w:sz w:val="20"/>
      <w:szCs w:val="20"/>
      <w:lang w:eastAsia="zh-CN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MDPI34textspacebefore">
    <w:name w:val="MDPI_3.4_text_space_before"/>
    <w:qFormat/>
    <w:rsid w:val="003202F1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81theorem">
    <w:name w:val="MDPI_8.1_theorem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eastAsia="de-DE" w:bidi="en-US"/>
    </w:rPr>
  </w:style>
  <w:style w:type="paragraph" w:customStyle="1" w:styleId="MDPI82proof">
    <w:name w:val="MDPI_8.2_proof"/>
    <w:qFormat/>
    <w:rsid w:val="003202F1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61Citation">
    <w:name w:val="MDPI_6.1_Citation"/>
    <w:qFormat/>
    <w:rsid w:val="003202F1"/>
    <w:pPr>
      <w:adjustRightInd w:val="0"/>
      <w:snapToGrid w:val="0"/>
      <w:spacing w:after="0" w:line="240" w:lineRule="atLeast"/>
      <w:ind w:right="113"/>
    </w:pPr>
    <w:rPr>
      <w:rFonts w:ascii="Palatino Linotype" w:eastAsia="SimSun" w:hAnsi="Palatino Linotype" w:cs="Cordia New"/>
      <w:sz w:val="14"/>
      <w:lang w:eastAsia="zh-CN"/>
    </w:rPr>
  </w:style>
  <w:style w:type="paragraph" w:customStyle="1" w:styleId="MDPI62BackMatter">
    <w:name w:val="MDPI_6.2_BackMatter"/>
    <w:qFormat/>
    <w:rsid w:val="003202F1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63Notes">
    <w:name w:val="MDPI_6.3_Notes"/>
    <w:qFormat/>
    <w:rsid w:val="003202F1"/>
    <w:pPr>
      <w:adjustRightInd w:val="0"/>
      <w:snapToGrid w:val="0"/>
      <w:spacing w:before="240" w:after="0" w:line="228" w:lineRule="auto"/>
      <w:jc w:val="both"/>
    </w:pPr>
    <w:rPr>
      <w:rFonts w:ascii="Palatino Linotype" w:eastAsia="SimSun" w:hAnsi="Palatino Linotype" w:cs="Times New Roman"/>
      <w:snapToGrid w:val="0"/>
      <w:color w:val="000000"/>
      <w:sz w:val="18"/>
      <w:szCs w:val="20"/>
      <w:lang w:bidi="en-US"/>
    </w:rPr>
  </w:style>
  <w:style w:type="paragraph" w:customStyle="1" w:styleId="MDPI15academiceditor">
    <w:name w:val="MDPI_1.5_academic_editor"/>
    <w:qFormat/>
    <w:rsid w:val="003202F1"/>
    <w:pPr>
      <w:adjustRightInd w:val="0"/>
      <w:snapToGrid w:val="0"/>
      <w:spacing w:before="12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eastAsia="de-DE" w:bidi="en-US"/>
    </w:rPr>
  </w:style>
  <w:style w:type="paragraph" w:customStyle="1" w:styleId="MDPI19classification">
    <w:name w:val="MDPI_1.9_classification"/>
    <w:qFormat/>
    <w:rsid w:val="003202F1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eastAsia="de-DE" w:bidi="en-US"/>
    </w:rPr>
  </w:style>
  <w:style w:type="paragraph" w:customStyle="1" w:styleId="MDPI411onetablecaption">
    <w:name w:val="MDPI_4.1.1_one_table_caption"/>
    <w:qFormat/>
    <w:rsid w:val="003202F1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Cordia New"/>
      <w:noProof/>
      <w:color w:val="000000"/>
      <w:sz w:val="18"/>
      <w:lang w:eastAsia="zh-CN" w:bidi="en-US"/>
    </w:rPr>
  </w:style>
  <w:style w:type="paragraph" w:customStyle="1" w:styleId="MDPI511onefigurecaption">
    <w:name w:val="MDPI_5.1.1_one_figure_caption"/>
    <w:qFormat/>
    <w:rsid w:val="003202F1"/>
    <w:pPr>
      <w:adjustRightInd w:val="0"/>
      <w:snapToGrid w:val="0"/>
      <w:spacing w:before="240" w:after="120" w:line="260" w:lineRule="atLeast"/>
      <w:jc w:val="center"/>
    </w:pPr>
    <w:rPr>
      <w:rFonts w:ascii="Palatino Linotype" w:eastAsia="SimSun" w:hAnsi="Palatino Linotype" w:cs="Times New Roman"/>
      <w:noProof/>
      <w:color w:val="000000"/>
      <w:sz w:val="18"/>
      <w:szCs w:val="20"/>
      <w:lang w:eastAsia="zh-CN" w:bidi="en-US"/>
    </w:rPr>
  </w:style>
  <w:style w:type="paragraph" w:customStyle="1" w:styleId="MDPI72Copyright">
    <w:name w:val="MDPI_7.2_Copyright"/>
    <w:qFormat/>
    <w:rsid w:val="003202F1"/>
    <w:pPr>
      <w:adjustRightInd w:val="0"/>
      <w:snapToGrid w:val="0"/>
      <w:spacing w:before="60" w:after="0" w:line="240" w:lineRule="atLeast"/>
      <w:ind w:right="113"/>
      <w:jc w:val="both"/>
    </w:pPr>
    <w:rPr>
      <w:rFonts w:ascii="Palatino Linotype" w:eastAsia="Times New Roman" w:hAnsi="Palatino Linotype" w:cs="Times New Roman"/>
      <w:noProof/>
      <w:snapToGrid w:val="0"/>
      <w:color w:val="000000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3202F1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eastAsia="de-CH"/>
    </w:rPr>
  </w:style>
  <w:style w:type="paragraph" w:customStyle="1" w:styleId="MDPIequationFram">
    <w:name w:val="MDPI_equationFram"/>
    <w:qFormat/>
    <w:rsid w:val="003202F1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eastAsia="de-DE" w:bidi="en-US"/>
    </w:rPr>
  </w:style>
  <w:style w:type="paragraph" w:customStyle="1" w:styleId="MDPIfooter">
    <w:name w:val="MDPI_footer"/>
    <w:qFormat/>
    <w:rsid w:val="003202F1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eastAsia="de-DE"/>
    </w:rPr>
  </w:style>
  <w:style w:type="paragraph" w:customStyle="1" w:styleId="MDPIheader">
    <w:name w:val="MDPI_header"/>
    <w:qFormat/>
    <w:rsid w:val="003202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eastAsia="de-DE"/>
    </w:rPr>
  </w:style>
  <w:style w:type="paragraph" w:customStyle="1" w:styleId="MDPIheadercitation">
    <w:name w:val="MDPI_header_citation"/>
    <w:rsid w:val="003202F1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eastAsia="de-DE" w:bidi="en-US"/>
    </w:rPr>
  </w:style>
  <w:style w:type="paragraph" w:customStyle="1" w:styleId="MDPIheadermdpilogo">
    <w:name w:val="MDPI_header_mdpi_logo"/>
    <w:qFormat/>
    <w:rsid w:val="003202F1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eastAsia="de-CH"/>
    </w:rPr>
  </w:style>
  <w:style w:type="table" w:customStyle="1" w:styleId="MDPITable">
    <w:name w:val="MDPI_Table"/>
    <w:basedOn w:val="TableNormal"/>
    <w:uiPriority w:val="99"/>
    <w:rsid w:val="003202F1"/>
    <w:pPr>
      <w:spacing w:after="0" w:line="240" w:lineRule="auto"/>
    </w:pPr>
    <w:rPr>
      <w:rFonts w:ascii="Palatino Linotype" w:eastAsia="SimSun" w:hAnsi="Palatino Linotype" w:cs="Times New Roman"/>
      <w:color w:val="000000"/>
      <w:sz w:val="20"/>
      <w:szCs w:val="20"/>
      <w:lang w:val="en-C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DPItext">
    <w:name w:val="MDPI_text"/>
    <w:qFormat/>
    <w:rsid w:val="003202F1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eastAsia="de-DE" w:bidi="en-US"/>
    </w:rPr>
  </w:style>
  <w:style w:type="paragraph" w:customStyle="1" w:styleId="MDPItitle">
    <w:name w:val="MDPI_title"/>
    <w:qFormat/>
    <w:rsid w:val="003202F1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eastAsia="de-DE" w:bidi="en-US"/>
    </w:rPr>
  </w:style>
  <w:style w:type="character" w:customStyle="1" w:styleId="apple-converted-space">
    <w:name w:val="apple-converted-space"/>
    <w:rsid w:val="003202F1"/>
  </w:style>
  <w:style w:type="paragraph" w:styleId="Bibliography">
    <w:name w:val="Bibliography"/>
    <w:basedOn w:val="Normal"/>
    <w:next w:val="Normal"/>
    <w:uiPriority w:val="37"/>
    <w:semiHidden/>
    <w:unhideWhenUsed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BodyText">
    <w:name w:val="Body Text"/>
    <w:link w:val="BodyTextChar"/>
    <w:rsid w:val="003202F1"/>
    <w:pPr>
      <w:spacing w:after="120" w:line="340" w:lineRule="atLeast"/>
      <w:jc w:val="both"/>
    </w:pPr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customStyle="1" w:styleId="BodyTextChar">
    <w:name w:val="Body Text Char"/>
    <w:basedOn w:val="DefaultParagraphFont"/>
    <w:link w:val="BodyText"/>
    <w:rsid w:val="003202F1"/>
    <w:rPr>
      <w:rFonts w:ascii="Palatino Linotype" w:eastAsia="SimSun" w:hAnsi="Palatino Linotype" w:cs="Times New Roman"/>
      <w:color w:val="000000"/>
      <w:sz w:val="24"/>
      <w:szCs w:val="20"/>
      <w:lang w:eastAsia="de-DE"/>
    </w:rPr>
  </w:style>
  <w:style w:type="character" w:styleId="CommentReference">
    <w:name w:val="annotation reference"/>
    <w:rsid w:val="003202F1"/>
    <w:rPr>
      <w:sz w:val="21"/>
      <w:szCs w:val="21"/>
    </w:rPr>
  </w:style>
  <w:style w:type="paragraph" w:styleId="CommentText">
    <w:name w:val="annotation text"/>
    <w:basedOn w:val="Normal"/>
    <w:link w:val="CommentTextChar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3202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02F1"/>
    <w:rPr>
      <w:rFonts w:ascii="Palatino Linotype" w:eastAsia="SimSun" w:hAnsi="Palatino Linotype" w:cs="Times New Roman"/>
      <w:b/>
      <w:bCs/>
      <w:noProof/>
      <w:color w:val="000000"/>
      <w:sz w:val="20"/>
      <w:szCs w:val="20"/>
      <w:lang w:eastAsia="zh-CN"/>
    </w:rPr>
  </w:style>
  <w:style w:type="character" w:styleId="EndnoteReference">
    <w:name w:val="endnote reference"/>
    <w:rsid w:val="003202F1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202F1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EndnoteTextChar">
    <w:name w:val="Endnote Text Char"/>
    <w:basedOn w:val="DefaultParagraphFont"/>
    <w:link w:val="EndnoteText"/>
    <w:semiHidden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styleId="FollowedHyperlink">
    <w:name w:val="FollowedHyperlink"/>
    <w:rsid w:val="003202F1"/>
    <w:rPr>
      <w:color w:val="954F72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3202F1"/>
    <w:pPr>
      <w:spacing w:after="0" w:line="240" w:lineRule="auto"/>
      <w:jc w:val="both"/>
    </w:pPr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3202F1"/>
    <w:rPr>
      <w:rFonts w:ascii="Palatino Linotype" w:eastAsia="SimSun" w:hAnsi="Palatino Linotype" w:cs="Times New Roman"/>
      <w:noProof/>
      <w:color w:val="000000"/>
      <w:sz w:val="20"/>
      <w:szCs w:val="20"/>
      <w:lang w:eastAsia="zh-CN"/>
    </w:rPr>
  </w:style>
  <w:style w:type="paragraph" w:styleId="NormalWeb">
    <w:name w:val="Normal (Web)"/>
    <w:basedOn w:val="Normal"/>
    <w:uiPriority w:val="99"/>
    <w:rsid w:val="003202F1"/>
    <w:pPr>
      <w:spacing w:after="0" w:line="260" w:lineRule="atLeast"/>
      <w:jc w:val="both"/>
    </w:pPr>
    <w:rPr>
      <w:rFonts w:ascii="Palatino Linotype" w:eastAsia="SimSun" w:hAnsi="Palatino Linotype" w:cs="Times New Roman"/>
      <w:noProof/>
      <w:color w:val="000000"/>
      <w:sz w:val="20"/>
      <w:szCs w:val="24"/>
      <w:lang w:eastAsia="zh-CN"/>
    </w:rPr>
  </w:style>
  <w:style w:type="paragraph" w:customStyle="1" w:styleId="MsoFootnoteText0">
    <w:name w:val="MsoFootnoteText"/>
    <w:basedOn w:val="NormalWeb"/>
    <w:qFormat/>
    <w:rsid w:val="003202F1"/>
    <w:rPr>
      <w:rFonts w:ascii="Times New Roman" w:hAnsi="Times New Roman"/>
    </w:rPr>
  </w:style>
  <w:style w:type="character" w:styleId="PageNumber">
    <w:name w:val="page number"/>
    <w:rsid w:val="003202F1"/>
  </w:style>
  <w:style w:type="character" w:styleId="PlaceholderText">
    <w:name w:val="Placeholder Text"/>
    <w:uiPriority w:val="99"/>
    <w:semiHidden/>
    <w:rsid w:val="003202F1"/>
    <w:rPr>
      <w:color w:val="808080"/>
    </w:rPr>
  </w:style>
  <w:style w:type="paragraph" w:customStyle="1" w:styleId="MDPI71FootNotes">
    <w:name w:val="MDPI_7.1_FootNotes"/>
    <w:qFormat/>
    <w:rsid w:val="003202F1"/>
    <w:pPr>
      <w:numPr>
        <w:numId w:val="12"/>
      </w:numPr>
      <w:adjustRightInd w:val="0"/>
      <w:snapToGrid w:val="0"/>
      <w:spacing w:after="0" w:line="228" w:lineRule="auto"/>
    </w:pPr>
    <w:rPr>
      <w:rFonts w:ascii="Palatino Linotype" w:eastAsiaTheme="minorEastAsia" w:hAnsi="Palatino Linotype" w:cs="Times New Roman"/>
      <w:noProof/>
      <w:color w:val="000000"/>
      <w:sz w:val="18"/>
      <w:szCs w:val="20"/>
      <w:lang w:eastAsia="zh-CN"/>
    </w:rPr>
  </w:style>
  <w:style w:type="character" w:styleId="Emphasis">
    <w:name w:val="Emphasis"/>
    <w:basedOn w:val="DefaultParagraphFont"/>
    <w:uiPriority w:val="20"/>
    <w:qFormat/>
    <w:rsid w:val="00245D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sciencedirect.com/topics/economics-econometrics-and-finance/neoliberali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  <b:Source>
    <b:Tag>Kot04</b:Tag>
    <b:SourceType>Book</b:SourceType>
    <b:Guid>{4F0DE0A8-94A3-4E88-94B1-12F8C785F386}</b:Guid>
    <b:Title>Research Methodology: Methods and Techniques</b:Title>
    <b:Year>2004</b:Year>
    <b:Author>
      <b:Author>
        <b:NameList>
          <b:Person>
            <b:Last>Kothari</b:Last>
            <b:First>C.R</b:First>
          </b:Person>
        </b:NameList>
      </b:Author>
    </b:Author>
    <b:Publisher>New Age International (P) Ltd</b:Publisher>
    <b:StandardNumber>978-81-224-2488-1</b:StandardNumber>
    <b:URL>https://ccsuniversity.ac.in/bridge-library/pdf/Research-Methodology-CR-Kothari.pdf</b:URL>
    <b:Edition>Second</b:Edition>
    <b:RefOrder>43</b:RefOrder>
  </b:Source>
  <b:Source>
    <b:Tag>Gei20</b:Tag>
    <b:SourceType>JournalArticle</b:SourceType>
    <b:Guid>{756E87C2-35B2-416E-92CB-A7B8DA052997}</b:Guid>
    <b:Title>Circular business models: A review</b:Title>
    <b:JournalName>Journal of Clearner Production</b:JournalName>
    <b:Year>2020</b:Year>
    <b:URL>https://www.researchgate.net/publication/343810965_Circular_business_models_A_review</b:URL>
    <b:DOI>10.1016/j.jclepro.2020.123741</b:DOI>
    <b:Author>
      <b:Author>
        <b:NameList>
          <b:Person>
            <b:Last>Geissdoerfer</b:Last>
            <b:First>Martin </b:First>
          </b:Person>
          <b:Person>
            <b:Last>Pieroni</b:Last>
            <b:Middle>P. P. </b:Middle>
            <b:First>Marina </b:First>
          </b:Person>
          <b:Person>
            <b:Last>Pigosso</b:Last>
            <b:Middle> C. A. </b:Middle>
            <b:First>Daniela</b:First>
          </b:Person>
          <b:Person>
            <b:Last>Soufani</b:Last>
            <b:First>Khaled </b:First>
          </b:Person>
        </b:NameList>
      </b:Author>
    </b:Author>
    <b:RefOrder>2</b:RefOrder>
  </b:Source>
  <b:Source>
    <b:Tag>Org18</b:Tag>
    <b:SourceType>Report</b:SourceType>
    <b:Guid>{83CC87B5-E1B2-462C-90CA-9763615A4E38}</b:Guid>
    <b:Author>
      <b:Author>
        <b:Corporate>Organisation for Economic Co-operation and Development</b:Corporate>
      </b:Author>
    </b:Author>
    <b:Title>Global Material Resources Outlook to 2060</b:Title>
    <b:Year>2018</b:Year>
    <b:Publisher>OECD Publishing</b:Publisher>
    <b:City>Paris</b:City>
    <b:ShortTitle>Economic drivers and environmental consequences: Highlights</b:ShortTitle>
    <b:URL>https://www.oecd.org/environment/waste/highlights-global-material-resources-outlook-to-2060.pdf</b:URL>
    <b:RefOrder>13</b:RefOrder>
  </b:Source>
  <b:Source>
    <b:Tag>Uni19</b:Tag>
    <b:SourceType>Report</b:SourceType>
    <b:Guid>{93DFD0CC-767D-485A-BD25-05D6BDD5CC9C}</b:Guid>
    <b:Title>2019 Global Status Report for Buildings and Construction: Towards a zero-emissions, efficient and resilient buildings and construct on sector</b:Title>
    <b:Year>2019</b:Year>
    <b:Author>
      <b:Author>
        <b:Corporate>United Nations Environment Programme</b:Corporate>
      </b:Author>
    </b:Author>
    <b:URL>www.globalabc.org</b:URL>
    <b:RefOrder>14</b:RefOrder>
  </b:Source>
  <b:Source>
    <b:Tag>Uni211</b:Tag>
    <b:SourceType>Report</b:SourceType>
    <b:Guid>{D3D5702F-D15E-43A1-B319-8F2CF76B180B}</b:Guid>
    <b:Title>2021 Global Status Report for Buildings and Construction: Towards a Zero-emission, Efcient and Resilient Buildings and Construction Sector</b:Title>
    <b:Year>2021</b:Year>
    <b:Publisher>Nairobi</b:Publisher>
    <b:Author>
      <b:Author>
        <b:Corporate>United Nations Environment Programme</b:Corporate>
      </b:Author>
    </b:Author>
    <b:URL>https://globalabc.org/resources/publications/2021-global-status-report-buildings-and-construction</b:URL>
    <b:RefOrder>15</b:RefOrder>
  </b:Source>
  <b:Source>
    <b:Tag>EUR20</b:Tag>
    <b:SourceType>Report</b:SourceType>
    <b:Guid>{F8119540-D7B5-45A2-BBB2-F37A238475D8}</b:Guid>
    <b:Author>
      <b:Author>
        <b:Corporate>European Commission</b:Corporate>
      </b:Author>
    </b:Author>
    <b:Title>Communication from the commission to the european parliament, the council, the european economic and social committee and the committee of the regions</b:Title>
    <b:Year>2020</b:Year>
    <b:ShortTitle>A new Circular Economy Action Plan For a cleaner and more competitive Europe</b:ShortTitle>
    <b:URL>https://eur-lex.europa.eu/resource.html?uri=cellar:9903b325-6388-11ea-b735-01aa75ed71a1.0017.02/DOC_1&amp;format=PDF</b:URL>
    <b:RefOrder>16</b:RefOrder>
  </b:Source>
  <b:Source>
    <b:Tag>Kor18</b:Tag>
    <b:SourceType>JournalArticle</b:SourceType>
    <b:Guid>{83E485A3-E2CE-46A4-A7A1-9DC93BA8F462}</b:Guid>
    <b:Title>Circular economy as an essentially contested concept</b:Title>
    <b:Year>2018</b:Year>
    <b:Publisher>Elsevier Ltd</b:Publisher>
    <b:JournalName>Circular economy as an essentially contested concept</b:JournalName>
    <b:Author>
      <b:Author>
        <b:NameList>
          <b:Person>
            <b:Last>Korhonen</b:Last>
            <b:First>Jouni</b:First>
          </b:Person>
          <b:Person>
            <b:Last>Nuur</b:Last>
            <b:First>Cali </b:First>
          </b:Person>
          <b:Person>
            <b:Last>Feldmann</b:Last>
            <b:First>Andreas </b:First>
          </b:Person>
          <b:Person>
            <b:Last>Birkie</b:Last>
            <b:Middle> Eshetu </b:Middle>
            <b:First>Seyoum</b:First>
          </b:Person>
        </b:NameList>
      </b:Author>
    </b:Author>
    <b:Volume>175</b:Volume>
    <b:StandardNumber>ISSN 0959-6526</b:StandardNumber>
    <b:URL>https://doi.org/10.1016/j.jclepro.2017.12.111</b:URL>
    <b:RefOrder>11</b:RefOrder>
  </b:Source>
  <b:Source>
    <b:Tag>Grd20</b:Tag>
    <b:SourceType>JournalArticle</b:SourceType>
    <b:Guid>{46D6D9C6-AE40-4B59-BFB8-27C426B51D62}</b:Guid>
    <b:Title>Circular Economy Concept in the Context of Economic Development in EU Countries</b:Title>
    <b:Year>2020</b:Year>
    <b:JournalName>Sustainability</b:JournalName>
    <b:Volume>12</b:Volume>
    <b:Issue>3060</b:Issue>
    <b:URL>https://www.mdpi.com/2071-1050/12/7/3060/pdf</b:URL>
    <b:DOI>doi:10.3390/su12073060</b:DOI>
    <b:Author>
      <b:Author>
        <b:NameList>
          <b:Person>
            <b:Last>Grdic</b:Last>
            <b:Middle>Sverko </b:Middle>
            <b:First>Zvonimira</b:First>
          </b:Person>
          <b:Person>
            <b:Last>Nizic</b:Last>
            <b:Middle>Krstinic </b:Middle>
            <b:First>Marinela</b:First>
          </b:Person>
          <b:Person>
            <b:Last>Rudan</b:Last>
            <b:First>Elena </b:First>
          </b:Person>
        </b:NameList>
      </b:Author>
    </b:Author>
    <b:RefOrder>12</b:RefOrder>
  </b:Source>
  <b:Source>
    <b:Tag>Uni17</b:Tag>
    <b:SourceType>Report</b:SourceType>
    <b:Guid>{05E4EA18-C416-41BE-B06A-5C282C590EBF}</b:Guid>
    <b:Title>Assessing global resource use</b:Title>
    <b:Year>2017</b:Year>
    <b:ShortTitle>A systems approach to resource efficiency and pollution reduction</b:ShortTitle>
    <b:StandardNumber>978-92-807-3677-9</b:StandardNumber>
    <b:URL>https://www.resourcepanel.org/reports/assessing-global-resource-use</b:URL>
    <b:Author>
      <b:Author>
        <b:Corporate>United Nations</b:Corporate>
      </b:Author>
    </b:Author>
    <b:RefOrder>4</b:RefOrder>
  </b:Source>
  <b:Source>
    <b:Tag>Wij22</b:Tag>
    <b:SourceType>InternetSite</b:SourceType>
    <b:Guid>{D7892DDD-3B2A-4F63-9696-422E54C5CA5B}</b:Guid>
    <b:Title>How a circular economy could help tackle Sri Lanka's economic crisis</b:Title>
    <b:Year>2022</b:Year>
    <b:Author>
      <b:Author>
        <b:NameList>
          <b:Person>
            <b:Last>Wijayasundara</b:Last>
            <b:First>Mayuri</b:First>
          </b:Person>
        </b:NameList>
      </b:Author>
    </b:Author>
    <b:YearAccessed>2022</b:YearAccessed>
    <b:MonthAccessed>11</b:MonthAccessed>
    <b:DayAccessed>13</b:DayAccessed>
    <b:URL>https://www.weforum.org/agenda/2022/07/circular-economy-tackle-economic-crisis-sri-lanka/#:~:text=Sri%20Lanka%20is%20in%20the,recovery%20and%20help%20the%20population.</b:URL>
    <b:InternetSiteTitle>World Economic Forum</b:InternetSiteTitle>
    <b:RefOrder>39</b:RefOrder>
  </b:Source>
  <b:Source>
    <b:Tag>LPD20</b:Tag>
    <b:SourceType>JournalArticle</b:SourceType>
    <b:Guid>{91A58270-AA09-4C95-B775-084538CAC206}</b:Guid>
    <b:Author>
      <b:Author>
        <b:NameList>
          <b:Person>
            <b:Last>Pathirana</b:Last>
            <b:Middle>P.D.S.</b:Middle>
            <b:First>L</b:First>
          </b:Person>
        </b:NameList>
      </b:Author>
    </b:Author>
    <b:Title>Effect of COVID -19 and Strategic Response: A Review on Sri Lankan Construction Industry</b:Title>
    <b:JournalName>SSRG International Journal of Economics and Management Studie</b:JournalName>
    <b:Year>2020</b:Year>
    <b:Pages>73-77</b:Pages>
    <b:Volume>7</b:Volume>
    <b:Issue>6</b:Issue>
    <b:StandardNumber>2393 - 9125</b:StandardNumber>
    <b:URL>https://doi.org/10.14445/23939125/IJEMS-V7I6P110</b:URL>
    <b:RefOrder>40</b:RefOrder>
  </b:Source>
  <b:Source>
    <b:Tag>Suá21</b:Tag>
    <b:SourceType>JournalArticle</b:SourceType>
    <b:Guid>{A5D27DAB-5919-47D1-98F4-87A6D307EE78}</b:Guid>
    <b:Title>Integration of the circular economy paradigm under the just and safe operating space narrative: Twelve operational principles based on circularity, sustainability and resilience</b:Title>
    <b:Year>2021</b:Year>
    <b:Publisher>Elsevier Ltd</b:Publisher>
    <b:JournalName>Journal of Cleaner Production</b:JournalName>
    <b:Author>
      <b:Author>
        <b:NameList>
          <b:Person>
            <b:Last>Suárez-Eiroa</b:Last>
            <b:First>Brais</b:First>
          </b:Person>
          <b:Person>
            <b:Last>Fernández</b:Last>
            <b:First>Emilio</b:First>
          </b:Person>
          <b:Person>
            <b:Last>Méndez</b:Last>
            <b:First>Gonzalo</b:First>
          </b:Person>
        </b:NameList>
      </b:Author>
    </b:Author>
    <b:Volume>322</b:Volume>
    <b:Issue>1</b:Issue>
    <b:StandardNumber>ISSN 0959-6526</b:StandardNumber>
    <b:URL>https://www.sciencedirect.com/science/article/pii/S0959652621032601</b:URL>
    <b:RefOrder>18</b:RefOrder>
  </b:Source>
  <b:Source>
    <b:Tag>Ken21</b:Tag>
    <b:SourceType>JournalArticle</b:SourceType>
    <b:Guid>{09D9D630-8B04-41D3-A5E8-2C8A784D9439}</b:Guid>
    <b:Title>Circular economy and resilience: A research agenda</b:Title>
    <b:JournalName>Business Strategy and the Environment</b:JournalName>
    <b:Year>2021</b:Year>
    <b:Pages>2754 - 2765</b:Pages>
    <b:Author>
      <b:Author>
        <b:NameList>
          <b:Person>
            <b:Last>Kennedy</b:Last>
            <b:First>Steve </b:First>
          </b:Person>
          <b:Person>
            <b:Last>Linnenluecke</b:Last>
            <b:Middle>K</b:Middle>
            <b:First>Martina </b:First>
          </b:Person>
        </b:NameList>
      </b:Author>
    </b:Author>
    <b:Publisher>John Wiley &amp; Sons, Ltd</b:Publisher>
    <b:Volume>31</b:Volume>
    <b:Issue>6</b:Issue>
    <b:StandardNumber>eISSN 1099-0836</b:StandardNumber>
    <b:URL>https://onlinelibrary.wiley.com/doi/epdf/10.1002/bse.3004</b:URL>
    <b:DOI>10.1002/bse.3004</b:DOI>
    <b:RefOrder>19</b:RefOrder>
  </b:Source>
  <b:Source>
    <b:Tag>Kir17</b:Tag>
    <b:SourceType>JournalArticle</b:SourceType>
    <b:Guid>{B918BF01-2F66-4956-BAB9-5A5F222B5AAF}</b:Guid>
    <b:Title>Conceptualizing the circular economy: An analysis of 114 definitions</b:Title>
    <b:Year>2017</b:Year>
    <b:Publisher>Elsevier B.V</b:Publisher>
    <b:Author>
      <b:Author>
        <b:NameList>
          <b:Person>
            <b:Last>Kirchherr</b:Last>
            <b:First>Julian </b:First>
          </b:Person>
          <b:Person>
            <b:Last>Reike</b:Last>
            <b:First>Denise </b:First>
          </b:Person>
          <b:Person>
            <b:Last>Hekkert</b:Last>
            <b:First>Marko </b:First>
          </b:Person>
        </b:NameList>
      </b:Author>
    </b:Author>
    <b:JournalName>Resources, Conservation and Recycling</b:JournalName>
    <b:Pages>221-232</b:Pages>
    <b:Volume>127</b:Volume>
    <b:StandardNumber>ISSN 0921-3449</b:StandardNumber>
    <b:URL>https://www.sciencedirect.com/science/article/pii/S0921344917302835?via%3Dihub</b:URL>
    <b:DOI>https://doi.org/10.1016/j.resconrec.2017.09.005</b:DOI>
    <b:RefOrder>6</b:RefOrder>
  </b:Source>
  <b:Source>
    <b:Tag>Khi20</b:Tag>
    <b:SourceType>JournalArticle</b:SourceType>
    <b:Guid>{A082F028-1236-4681-9900-6C90924651FA}</b:Guid>
    <b:Title>A Systematic Literature Network Analysis of Existing Themes and Emerging Research Trends in Circular Economy</b:Title>
    <b:JournalName>Sustainability</b:JournalName>
    <b:Year>2020</b:Year>
    <b:Author>
      <b:Author>
        <b:NameList>
          <b:Person>
            <b:Last>Khitous</b:Last>
            <b:First>Fatima</b:First>
          </b:Person>
          <b:Person>
            <b:Last>Strozzi</b:Last>
            <b:First>Fernanda </b:First>
          </b:Person>
          <b:Person>
            <b:Last>Urbinati </b:Last>
            <b:First>Andrea </b:First>
          </b:Person>
          <b:Person>
            <b:Last>Alberti</b:Last>
            <b:First>Fernando </b:First>
          </b:Person>
        </b:NameList>
      </b:Author>
    </b:Author>
    <b:Volume>12</b:Volume>
    <b:Issue>4</b:Issue>
    <b:URL>https://www.mdpi.com/2071-1050/12/4/1633#cite</b:URL>
    <b:DOI>https://doi.org/10.3390/su12041633</b:DOI>
    <b:RefOrder>7</b:RefOrder>
  </b:Source>
  <b:Source>
    <b:Tag>Mur17</b:Tag>
    <b:SourceType>JournalArticle</b:SourceType>
    <b:Guid>{6CEBDE28-3F21-47C1-A46D-8F4935E4BE1F}</b:Guid>
    <b:Title>The Circular Economy: An Interdisciplinary Exploration of the Concept and Application in a Global Context</b:Title>
    <b:Year>2017</b:Year>
    <b:Pages>369–380</b:Pages>
    <b:JournalName>Journal of Business Ethics</b:JournalName>
    <b:Volume>140</b:Volume>
    <b:Issue>3</b:Issue>
    <b:StandardNumber>ISSN 0167-4544</b:StandardNumber>
    <b:URL>https://link.springer.com/article/10.1007/s10551-015-2693-2</b:URL>
    <b:Author>
      <b:Author>
        <b:NameList>
          <b:Person>
            <b:Last>Murray</b:Last>
            <b:First>Alan</b:First>
          </b:Person>
          <b:Person>
            <b:Last>Skene</b:Last>
            <b:First>Keith</b:First>
          </b:Person>
          <b:Person>
            <b:Last>Haynes</b:Last>
            <b:First>Kathryn</b:First>
          </b:Person>
        </b:NameList>
      </b:Author>
    </b:Author>
    <b:RefOrder>8</b:RefOrder>
  </b:Source>
  <b:Source>
    <b:Tag>Yon07</b:Tag>
    <b:SourceType>JournalArticle</b:SourceType>
    <b:Guid>{E960EB00-519C-40F8-860E-8AEE69E6EF41}</b:Guid>
    <b:Title>The circular economy in China</b:Title>
    <b:JournalName>Journal of Material Cycles and Waste Management volume</b:JournalName>
    <b:Year>2007</b:Year>
    <b:Pages>121–129 </b:Pages>
    <b:Author>
      <b:Author>
        <b:NameList>
          <b:Person>
            <b:Last>Yong</b:Last>
            <b:First>Ren</b:First>
          </b:Person>
        </b:NameList>
      </b:Author>
    </b:Author>
    <b:Volume>9</b:Volume>
    <b:URL>https://link.springer.com/article/10.1007/s10163-007-0183-z</b:URL>
    <b:DOI>https://doi.org/10.1007/s10163-007-0183-z</b:DOI>
    <b:RefOrder>9</b:RefOrder>
  </b:Source>
  <b:Source xmlns:b="http://schemas.openxmlformats.org/officeDocument/2006/bibliography">
    <b:Tag>EUR15</b:Tag>
    <b:SourceType>Report</b:SourceType>
    <b:Guid>{3054A85B-E2DA-481F-A266-D383D67F1134}</b:Guid>
    <b:Author>
      <b:Author>
        <b:Corporate>European Commission</b:Corporate>
      </b:Author>
    </b:Author>
    <b:Title>Communication from the commission to the european parliament, the council, the european economic and social committee and the committee of the regions</b:Title>
    <b:Year>2015</b:Year>
    <b:URL>https://eur-lex.europa.eu/resource.html?uri=cellar:8a8ef5e8-99a0-11e5-b3b7-01aa75ed71a1.0012.02/DOC_1&amp;format=PDF</b:URL>
    <b:ShortTitle>Closing the loop - An EU action plan for the Circular Economy</b:ShortTitle>
    <b:RefOrder>5</b:RefOrder>
  </b:Source>
  <b:Source>
    <b:Tag>Low01</b:Tag>
    <b:SourceType>Report</b:SourceType>
    <b:Guid>{3DCB1A6B-861B-4A71-BD54-042652B662E7}</b:Guid>
    <b:Author>
      <b:Author>
        <b:NameList>
          <b:Person>
            <b:Last>Lowe</b:Last>
            <b:First>Ernest</b:First>
          </b:Person>
        </b:NameList>
      </b:Author>
    </b:Author>
    <b:Title>Eco-industrial Park Handbook for Asian Developing Countries Report to Asian Development Bank</b:Title>
    <b:Year>2001</b:Year>
    <b:Publisher>Asian Development Bank</b:Publisher>
    <b:URL>https://www.researchgate.net/publication/334204752_Eco-industrial_Park_Handbook_for_Asian_Developing_Countries_Report_to_Asian_Development_Bank</b:URL>
    <b:RefOrder>10</b:RefOrder>
  </b:Source>
  <b:Source>
    <b:Tag>Boc</b:Tag>
    <b:SourceType>JournalArticle</b:SourceType>
    <b:Guid>{86B9EEE3-F199-4336-9662-5DDF55B49D4B}</b:Guid>
    <b:Title>Product design and business model strategies for a circular economy</b:Title>
    <b:JournalName>Journal of Industrial and Production Engineering</b:JournalName>
    <b:Pages>308-320</b:Pages>
    <b:Author>
      <b:Author>
        <b:NameList>
          <b:Person>
            <b:Last>Bocken</b:Last>
            <b:Middle>M. P. </b:Middle>
            <b:First>Nancy </b:First>
          </b:Person>
          <b:Person>
            <b:Last>Pauw</b:Last>
            <b:Middle>de</b:Middle>
            <b:First>Ingrid </b:First>
          </b:Person>
          <b:Person>
            <b:Last>Bakker</b:Last>
            <b:First>Conny </b:First>
          </b:Person>
          <b:Person>
            <b:Last>Grinten</b:Last>
            <b:Middle>van der </b:Middle>
            <b:First>Bram </b:First>
          </b:Person>
        </b:NameList>
      </b:Author>
    </b:Author>
    <b:Volume>33</b:Volume>
    <b:Issue>5</b:Issue>
    <b:StandardNumber>ISSN: 2168-1015</b:StandardNumber>
    <b:URL>https://www.tandfonline.com/doi/full/10.1080/21681015.2016.1172124</b:URL>
    <b:DOI>10.1080/21681015.2016.1172124</b:DOI>
    <b:Year>2016</b:Year>
    <b:RefOrder>29</b:RefOrder>
  </b:Source>
  <b:Source>
    <b:Tag>Ost10</b:Tag>
    <b:SourceType>Book</b:SourceType>
    <b:Guid>{99E12964-4E1F-4A8E-A0DF-87489E1EEAED}</b:Guid>
    <b:Title>Business Model Generation</b:Title>
    <b:Year>2010</b:Year>
    <b:Publisher>John Wiley &amp; Sons, Inc</b:Publisher>
    <b:StandardNumber>978-0470-87641-1</b:StandardNumber>
    <b:URL>https://books.google.lk/books?id=UzuTAwAAQBAJ&amp;lpg=PP1&amp;ots=yYHSBjDb0t&amp;dq=Osterwalder%2C%20A.%2C%20%26%20Pigneur%2C%20Y.%20(2010).%20Business%20Model%20Generation.%20Hoboken%2C%20NJ%3A%20John%20Wiley%20%26%20Sons%2C%20Inc&amp;lr&amp;pg=PP1#v=onepage&amp;q=The%20busines</b:URL>
    <b:CountryRegion>United State of America</b:CountryRegion>
    <b:Author>
      <b:Author>
        <b:NameList>
          <b:Person>
            <b:Last>Osterwalder</b:Last>
            <b:First>Alexander </b:First>
          </b:Person>
          <b:Person>
            <b:Last> Pigneur</b:Last>
            <b:First>Yves</b:First>
          </b:Person>
        </b:NameList>
      </b:Author>
    </b:Author>
    <b:RefOrder>26</b:RefOrder>
  </b:Source>
  <b:Source>
    <b:Tag>Aar22</b:Tag>
    <b:SourceType>JournalArticle</b:SourceType>
    <b:Guid>{3E2837A4-7F04-45D0-B5F4-16A6F840C101}</b:Guid>
    <b:Title>Companies' circular business models enabled by supply chain collaborations: An empirical-based framework, synthesis, and collaborations: An empirical-based framework, synthesis, and</b:Title>
    <b:JournalName>Industrial Marketing Management</b:JournalName>
    <b:Year>2022</b:Year>
    <b:Pages>322-339</b:Pages>
    <b:Author>
      <b:Author>
        <b:NameList>
          <b:Person>
            <b:Last>Aarikka-Stenroos</b:Last>
            <b:First>Leena </b:First>
          </b:Person>
          <b:Person>
            <b:Last>Chiaroni</b:Last>
            <b:First>Davide </b:First>
          </b:Person>
          <b:Person>
            <b:Last>Kaipainen</b:Last>
            <b:First>Jenni </b:First>
          </b:Person>
          <b:Person>
            <b:Last>Urbinati</b:Last>
            <b:First>Andrea </b:First>
          </b:Person>
        </b:NameList>
      </b:Author>
    </b:Author>
    <b:Volume>150</b:Volume>
    <b:StandardNumber>ISSN 0019-8501</b:StandardNumber>
    <b:URL>https://www.sciencedirect.com/science/article/pii/S0019850122001535#!</b:URL>
    <b:RefOrder>28</b:RefOrder>
  </b:Source>
  <b:Source>
    <b:Tag>Lin17</b:Tag>
    <b:SourceType>JournalArticle</b:SourceType>
    <b:Guid>{F61E08B0-E616-430B-955F-5C33966B9D31}</b:Guid>
    <b:Title>A Metric for Quantifying Product-Level Circularity</b:Title>
    <b:Year>2017</b:Year>
    <b:Publisher>Wiley Periodicals, Inc., on behalf of Yale University</b:Publisher>
    <b:JournalName>Journal of Industrial Ecology</b:JournalName>
    <b:Author>
      <b:Author>
        <b:NameList>
          <b:Person>
            <b:Last>Linder</b:Last>
            <b:First>Marcus </b:First>
          </b:Person>
          <b:Person>
            <b:Last>Sarasini</b:Last>
            <b:First>Steven </b:First>
          </b:Person>
          <b:Person>
            <b:Last>Loon</b:Last>
            <b:Middle>van </b:Middle>
            <b:First>Patricia </b:First>
          </b:Person>
        </b:NameList>
      </b:Author>
    </b:Author>
    <b:Volume>21</b:Volume>
    <b:Issue>3</b:Issue>
    <b:URL>https://onlinelibrary.wiley.com/doi/pdf/10.1111/jiec.12552</b:URL>
    <b:DOI>10.1111/jiec.12552</b:DOI>
    <b:RefOrder>27</b:RefOrder>
  </b:Source>
  <b:Source>
    <b:Tag>Wij</b:Tag>
    <b:SourceType>JournalArticle</b:SourceType>
    <b:Guid>{480960EA-8460-4D61-BC99-7A82854B93A6}</b:Guid>
    <b:Title>Implementation of circular economy principles during pre-construction stage: the case of Sri Lanka</b:Title>
    <b:JournalName>Built Environment Project and Asset Management</b:JournalName>
    <b:Author>
      <b:Author>
        <b:NameList>
          <b:Person>
            <b:Last>Wijewansha</b:Last>
            <b:Middle>Supunmal </b:Middle>
            <b:First>Amodith</b:First>
          </b:Person>
          <b:Person>
            <b:Last>Tennakoon</b:Last>
            <b:First>Gihan </b:First>
          </b:Person>
          <b:Person>
            <b:Last>Ekanayake</b:Last>
            <b:First>Biyanka </b:First>
          </b:Person>
          <b:Person>
            <b:Last>Waidyasekara</b:Last>
            <b:First>Anuradha </b:First>
          </b:Person>
        </b:NameList>
      </b:Author>
    </b:Author>
    <b:Volume>11</b:Volume>
    <b:Issue>4</b:Issue>
    <b:StandardNumber>ISSN: 2044-124X</b:StandardNumber>
    <b:URL>https://www.emerald.com/insight/content/doi/10.1108/BEPAM-04-2020-0072/full/html</b:URL>
    <b:DOI>10.1108/BEPAM-04-2020-0072</b:DOI>
    <b:Year>2021</b:Year>
    <b:RefOrder>30</b:RefOrder>
  </b:Source>
  <b:Source>
    <b:Tag>Sam</b:Tag>
    <b:SourceType>JournalArticle</b:SourceType>
    <b:Guid>{D43622E3-4003-4E95-AD51-CCC2CAEB50A0}</b:Guid>
    <b:Title>Techno-economic feasibility and environmental sustainability of waste-to-energy in a circular economy: Sri Lanka case studyEnergy for Sustainable Development</b:Title>
    <b:JournalName>Energy for Sustainable Development</b:JournalName>
    <b:Pages>308-317</b:Pages>
    <b:Author>
      <b:Author>
        <b:NameList>
          <b:Person>
            <b:Last>Samarasinghe</b:Last>
            <b:First>Keshan</b:First>
          </b:Person>
          <b:Person>
            <b:Last>Wijayatunga</b:Last>
            <b:Middle> D.C.</b:Middle>
            <b:First>Priyantha</b:First>
          </b:Person>
        </b:NameList>
      </b:Author>
    </b:Author>
    <b:Volume>68</b:Volume>
    <b:URL>https://www.sciencedirect.com/science/article/pii/S0973082622000515</b:URL>
    <b:Year>2022</b:Year>
    <b:RefOrder>31</b:RefOrder>
  </b:Source>
  <b:Source>
    <b:Tag>Bek</b:Tag>
    <b:SourceType>JournalArticle</b:SourceType>
    <b:Guid>{1C4D8653-0BD1-4202-BC75-54191BD9B44B}</b:Guid>
    <b:Title>Circular economy of composting in Sri Lanka: Opportunities and challenges for reducing waste related pollution and improving soil health,</b:Title>
    <b:Author>
      <b:Author>
        <b:NameList>
          <b:Person>
            <b:Last>Bekchanov</b:Last>
            <b:First>M </b:First>
          </b:Person>
          <b:Person>
            <b:Last>Mirzabaev</b:Last>
            <b:First>A</b:First>
          </b:Person>
        </b:NameList>
      </b:Author>
    </b:Author>
    <b:JournalName>Journal of Cleaner Production</b:JournalName>
    <b:Volume>202</b:Volume>
    <b:StandardNumber>ISSN 0959-6526</b:StandardNumber>
    <b:Year>2018</b:Year>
    <b:Pages>1107-1119</b:Pages>
    <b:URL>https://www.sciencedirect.com/science/article/pii/S0959652618325290</b:URL>
    <b:DOI>https://doi.org/10.1016/j.jclepro.2018.08.186</b:DOI>
    <b:RefOrder>32</b:RefOrder>
  </b:Source>
  <b:Source>
    <b:Tag>Placeholder1</b:Tag>
    <b:SourceType>JournalArticle</b:SourceType>
    <b:Guid>{F7F24476-A519-4C4E-96A2-AB071145628B}</b:Guid>
    <b:Title>Evaluation of circular economy potential of plastic waste in Sri Lanka</b:Title>
    <b:JournalName>Environmental Quality Management</b:JournalName>
    <b:Year>2021</b:Year>
    <b:Author>
      <b:Author>
        <b:NameList>
          <b:Person>
            <b:Last> Samarasinghe</b:Last>
            <b:First>Keshan</b:First>
          </b:Person>
          <b:Person>
            <b:Last>Kumar</b:Last>
            <b:Middle>Pawan </b:Middle>
            <b:First>Srikanth </b:First>
          </b:Person>
          <b:Person>
            <b:Last>Visvanathan</b:Last>
            <b:First>Chettiyappan </b:First>
          </b:Person>
        </b:NameList>
      </b:Author>
    </b:Author>
    <b:Volume>31</b:Volume>
    <b:Issue>1</b:Issue>
    <b:URL>https://onlinelibrary.wiley.com/doi/abs/10.1002/tqem.21732</b:URL>
    <b:RefOrder>33</b:RefOrder>
  </b:Source>
  <b:Source>
    <b:Tag>Gun21</b:Tag>
    <b:SourceType>JournalArticle</b:SourceType>
    <b:Guid>{2D55D610-B1E5-4943-A0D4-0AF345FEA2B8}</b:Guid>
    <b:Title>Uncovering corporate disclosure for a circular economy: An analysis of sustainability and integrated reporting by Sri Lankan companies</b:Title>
    <b:JournalName>Sustainable Production and Consumption</b:JournalName>
    <b:Year>2021</b:Year>
    <b:Pages>787-801</b:Pages>
    <b:Author>
      <b:Author>
        <b:NameList>
          <b:Person>
            <b:Last>Gunarathne</b:Last>
            <b:First>Nuwan</b:First>
          </b:Person>
          <b:Person>
            <b:Last>Wijayasundara</b:Last>
            <b:First>Mayuri</b:First>
          </b:Person>
          <b:Person>
            <b:Last>Senaratne</b:Last>
            <b:First>Samanthi</b:First>
          </b:Person>
          <b:Person>
            <b:Last>P D Kumara</b:Last>
            <b:First>Kanchana</b:First>
          </b:Person>
          <b:Person>
            <b:Last>Cooray</b:Last>
            <b:First>Thilini</b:First>
          </b:Person>
        </b:NameList>
      </b:Author>
    </b:Author>
    <b:Volume>27</b:Volume>
    <b:StandardNumber>ISSN 2352-5509</b:StandardNumber>
    <b:URL>https://www.sciencedirect.com/science/article/pii/S2352550921000415</b:URL>
    <b:DOI>https://doi.org/10.1016/j.spc.2021.02.003</b:DOI>
    <b:RefOrder>34</b:RefOrder>
  </b:Source>
  <b:Source>
    <b:Tag>Wan22</b:Tag>
    <b:SourceType>ConferenceProceedings</b:SourceType>
    <b:Guid>{A0CF8AA0-B4B1-4145-9901-EE836BCA4EB8}</b:Guid>
    <b:Title>Circular Economy (CE) based material selection: Development of a CE-based ‘10R’ evaluation framework for building construction projects in</b:Title>
    <b:Pages>208-2019</b:Pages>
    <b:Year>2022</b:Year>
    <b:ConferenceName>Proceedings of the 10th World Construction Symposium</b:ConferenceName>
    <b:Author>
      <b:Author>
        <b:NameList>
          <b:Person>
            <b:Last>Wanaguru</b:Last>
            <b:First>Koshalee</b:First>
          </b:Person>
          <b:Person>
            <b:Last>Mallawaarachchi</b:Last>
            <b:First>Harshini </b:First>
          </b:Person>
          <b:Person>
            <b:Last>Vijerathne</b:Last>
            <b:First>Dimuthu </b:First>
          </b:Person>
        </b:NameList>
      </b:Author>
      <b:Editor>
        <b:NameList>
          <b:Person>
            <b:Last>Sandanayake</b:Last>
            <b:First>Y.G</b:First>
          </b:Person>
          <b:Person>
            <b:Last>Gunatilake</b:Last>
            <b:First>S</b:First>
          </b:Person>
          <b:Person>
            <b:Last>Waidyasekara</b:Last>
            <b:First>K.G.A.S</b:First>
          </b:Person>
        </b:NameList>
      </b:Editor>
    </b:Author>
    <b:URL> https://ciobwcs.com/2022-papers/</b:URL>
    <b:DOI>https://doi.org/10.31705/WCS.2022.18</b:DOI>
    <b:RefOrder>35</b:RefOrder>
  </b:Source>
  <b:Source>
    <b:Tag>Del21</b:Tag>
    <b:SourceType>Report</b:SourceType>
    <b:Guid>{7838D104-70B9-45ED-9A32-1F98732293AD}</b:Guid>
    <b:Title>Water in Circular Economy and Resilience (WICER)</b:Title>
    <b:Year>2021</b:Year>
    <b:Author>
      <b:Author>
        <b:NameList>
          <b:Person>
            <b:Last>Delgado</b:Last>
            <b:First>Anna</b:First>
          </b:Person>
          <b:Person>
            <b:Last>Rodriguez</b:Last>
            <b:Middle>J</b:Middle>
            <b:First>Diego  </b:First>
          </b:Person>
          <b:Person>
            <b:Last>Amadei</b:Last>
            <b:Middle>A</b:Middle>
            <b:First>Carlo </b:First>
          </b:Person>
          <b:Person>
            <b:Last>Makino</b:Last>
            <b:First>Midori </b:First>
          </b:Person>
        </b:NameList>
      </b:Author>
    </b:Author>
    <b:URL>https://www.researchgate.net/publication/354783968_Water_in_Circular_Economy_and_Resilience_WICER</b:URL>
    <b:RefOrder>25</b:RefOrder>
  </b:Source>
  <b:Source>
    <b:Tag>Nan</b:Tag>
    <b:SourceType>JournalArticle</b:SourceType>
    <b:Guid>{39C14475-2292-4571-9B4D-9A1538963039}</b:Guid>
    <b:Title>Conceptualizing Circular Economy Performance with Non-Traditional Valuation Methods: Lessons for a Post-Pandemic Recovery</b:Title>
    <b:City>2021</b:City>
    <b:JournalName>International Journal of Logistics</b:JournalName>
    <b:URL>https://doi.org/10.1080/13675567.2021.1974365</b:URL>
    <b:Author>
      <b:Author>
        <b:NameList>
          <b:Person>
            <b:Last>Nandi</b:Last>
            <b:First>Santosh </b:First>
          </b:Person>
          <b:Person>
            <b:Last>Hervani</b:Last>
            <b:Middle>A</b:Middle>
            <b:First>Aref </b:First>
          </b:Person>
          <b:Person>
            <b:Last>Helms</b:Last>
            <b:Middle>M</b:Middle>
            <b:First>Marilyn  </b:First>
          </b:Person>
          <b:Person>
            <b:Last>Sarkis</b:Last>
            <b:First>Joseph </b:First>
          </b:Person>
        </b:NameList>
      </b:Author>
    </b:Author>
    <b:Year>2021</b:Year>
    <b:RefOrder>21</b:RefOrder>
  </b:Source>
  <b:Source>
    <b:Tag>Fab19</b:Tag>
    <b:SourceType>JournalArticle</b:SourceType>
    <b:Guid>{685D0726-7308-49C4-9532-790A42431A0B}</b:Guid>
    <b:Title>Circular Economy and Resilience Thinking for Historic Urban Landscape Regeneration: The Case of Torre Annunziata, Naples</b:Title>
    <b:JournalName>Sustainability</b:JournalName>
    <b:Year>2019</b:Year>
    <b:Volume>11</b:Volume>
    <b:URL>https://econpapers.repec.org/article/gamjsusta/v_3a11_3ay_3a2019_3ai_3a12_3ap_3a3391-_3ad_3a241294.htm</b:URL>
    <b:DOI>doi:10.3390/su11123391</b:DOI>
    <b:Author>
      <b:Author>
        <b:NameList>
          <b:Person>
            <b:Last>Fabbricatti</b:Last>
            <b:First>Katia </b:First>
          </b:Person>
          <b:Person>
            <b:Last>Biancamano</b:Last>
            <b:Middle>Franco</b:Middle>
            <b:First>Paolo </b:First>
          </b:Person>
        </b:NameList>
      </b:Author>
    </b:Author>
    <b:RefOrder>22</b:RefOrder>
  </b:Source>
  <b:Source>
    <b:Tag>Fan19</b:Tag>
    <b:SourceType>JournalArticle</b:SourceType>
    <b:Guid>{B376E442-B282-4EB2-9DCE-39B1A6C62E7D}</b:Guid>
    <b:Title>Cross-disciplinary approaches towards smart, resilient and sustainable circular economy</b:Title>
    <b:JournalName>Journal of Cleaner Production</b:JournalName>
    <b:Year>2019</b:Year>
    <b:Pages>1482-1491</b:Pages>
    <b:Volume>232</b:Volume>
    <b:StandardNumber>ISSN 0959-6526</b:StandardNumber>
    <b:URL>https://www.sciencedirect.com/science/article/abs/pii/S0959652619318025</b:URL>
    <b:Author>
      <b:Author>
        <b:NameList>
          <b:Person>
            <b:Last>Fan</b:Last>
            <b:Middle>Van </b:Middle>
            <b:First>Yee </b:First>
          </b:Person>
          <b:Person>
            <b:Last>Lee</b:Last>
            <b:Middle>Tin</b:Middle>
            <b:First>Chew </b:First>
          </b:Person>
          <b:Person>
            <b:Last>Lim</b:Last>
            <b:Middle>Shiun</b:Middle>
            <b:First>Jeng </b:First>
          </b:Person>
          <b:Person>
            <b:Last>Klemeš</b:Last>
            <b:Middle>Jaromír</b:Middle>
            <b:First>Jiří </b:First>
          </b:Person>
          <b:Person>
            <b:Last>Le</b:Last>
            <b:Middle>Thi Kim</b:Middle>
            <b:First>Phung </b:First>
          </b:Person>
        </b:NameList>
      </b:Author>
    </b:Author>
    <b:RefOrder>23</b:RefOrder>
  </b:Source>
  <b:Source>
    <b:Tag>Wal03</b:Tag>
    <b:SourceType>JournalArticle</b:SourceType>
    <b:Guid>{8439911D-B2E3-4E4F-AD62-14C224089D5A}</b:Guid>
    <b:Title>Resilience, Adaptability and Transformability in Social-Ecological Systems</b:Title>
    <b:JournalName>Ecology and Society</b:JournalName>
    <b:Year>2003</b:Year>
    <b:Author>
      <b:Author>
        <b:NameList>
          <b:Person>
            <b:Last>Walker</b:Last>
            <b:First>Brian </b:First>
          </b:Person>
          <b:Person>
            <b:Last>Holling</b:Last>
            <b:First>C.S. </b:First>
          </b:Person>
          <b:Person>
            <b:Last>Carpenter</b:Last>
            <b:Middle>R. </b:Middle>
            <b:First>Stephen </b:First>
          </b:Person>
        </b:NameList>
      </b:Author>
    </b:Author>
    <b:Volume>9</b:Volume>
    <b:Issue>5</b:Issue>
    <b:URL>https://www.researchgate.net/publication/42764046_Resilience_Adaptability_and_Transformability_in_Social-Ecological_Systems</b:URL>
    <b:DOI>10.5751/ES-00650-090205</b:DOI>
    <b:RefOrder>20</b:RefOrder>
  </b:Source>
  <b:Source>
    <b:Tag>Bag18</b:Tag>
    <b:SourceType>JournalArticle</b:SourceType>
    <b:Guid>{41102F5E-917C-4934-B132-7CB937428C09}</b:Guid>
    <b:Title>Examining the role of dynamic remanufacturing capability on supply chain resilience in circular economy</b:Title>
    <b:JournalName>Management Decision</b:JournalName>
    <b:Year>2018</b:Year>
    <b:Author>
      <b:Author>
        <b:NameList>
          <b:Person>
            <b:Last>Bag</b:Last>
            <b:First>Surajit </b:First>
          </b:Person>
          <b:Person>
            <b:Last>Gupta </b:Last>
            <b:First>Shivam </b:First>
          </b:Person>
          <b:Person>
            <b:Last>Foropon</b:Last>
            <b:First>Cyril </b:First>
          </b:Person>
        </b:NameList>
      </b:Author>
    </b:Author>
    <b:Volume>57</b:Volume>
    <b:StandardNumber>0025-1747</b:StandardNumber>
    <b:URL>https://doi.org/10.1108/MD-07-2018-0724</b:URL>
    <b:Pages>863-885</b:Pages>
    <b:Issue>4</b:Issue>
    <b:RefOrder>24</b:RefOrder>
  </b:Source>
  <b:Source>
    <b:Tag>Fre20</b:Tag>
    <b:SourceType>JournalArticle</b:SourceType>
    <b:Guid>{CFDEDD10-A583-49AA-8A0E-4C85264D931E}</b:Guid>
    <b:Title>Circular economy in the construction</b:Title>
    <b:JournalName>Journal of Cleaner Production industry: a systematic literature review</b:JournalName>
    <b:Year>2020</b:Year>
    <b:Author>
      <b:Author>
        <b:NameList>
          <b:Person>
            <b:Last>Freitas</b:Last>
            <b:Middle>do Carmo Duarte </b:Middle>
            <b:First>Maria </b:First>
          </b:Person>
          <b:Person>
            <b:Last>Benachio</b:Last>
            <b:Middle>Luiz Fritz </b:Middle>
            <b:First>Gabriel</b:First>
          </b:Person>
          <b:Person>
            <b:Last>Tavares</b:Last>
            <b:Middle>Fernando </b:Middle>
            <b:First>Sergio </b:First>
          </b:Person>
        </b:NameList>
      </b:Author>
    </b:Author>
    <b:Volume>260</b:Volume>
    <b:Issue>121046</b:Issue>
    <b:URL>https://doi.org/10.1016/j.jclepro.2020.121046</b:URL>
    <b:RefOrder>17</b:RefOrder>
  </b:Source>
  <b:Source>
    <b:Tag>Fik21</b:Tag>
    <b:SourceType>JournalArticle</b:SourceType>
    <b:Guid>{129662F7-B539-470A-8CDB-10CAD6F1A343}</b:Guid>
    <b:Title>Steps toward a resilient circular economy in India</b:Title>
    <b:JournalName>Clean Technologies and Environmental Policy</b:JournalName>
    <b:Year>2021</b:Year>
    <b:Pages>203-218</b:Pages>
    <b:Author>
      <b:Author>
        <b:NameList>
          <b:Person>
            <b:Last>Fiksel</b:Last>
            <b:First>Joseph</b:First>
          </b:Person>
          <b:Person>
            <b:Last>Sanjay </b:Last>
            <b:First>Praveena </b:First>
          </b:Person>
          <b:Person>
            <b:Last>Raman </b:Last>
            <b:First>Kavya </b:First>
          </b:Person>
        </b:NameList>
      </b:Author>
    </b:Author>
    <b:Volume>23</b:Volume>
    <b:URL>https://link.springer.com/article/10.1007/s10098-020-01982-0#ref-CR8</b:URL>
    <b:RefOrder>41</b:RefOrder>
  </b:Source>
  <b:Source>
    <b:Tag>Jay22</b:Tag>
    <b:SourceType>JournalArticle</b:SourceType>
    <b:Guid>{7E981BB6-FE47-468B-8E09-88B8A8EAC82D}</b:Guid>
    <b:Title>Economic resilience in an era of ‘systemic risk’: Insights from four key economic sectors in Sri Lanka</b:Title>
    <b:JournalName>Progress in Disaster Science</b:JournalName>
    <b:Year>2022</b:Year>
    <b:Volume>14</b:Volume>
    <b:Author>
      <b:Author>
        <b:NameList>
          <b:Person>
            <b:Last>Jayasinghe </b:Last>
            <b:First>Naduni </b:First>
          </b:Person>
          <b:Person>
            <b:Last>Fernando</b:Last>
            <b:First>Shiran</b:First>
          </b:Person>
          <b:Person>
            <b:Last>Haigh</b:Last>
            <b:First>Richard</b:First>
          </b:Person>
          <b:Person>
            <b:Last>Amaratunga</b:Last>
            <b:First>Dilanthi</b:First>
          </b:Person>
          <b:Person>
            <b:Last>Fernando</b:Last>
            <b:First>Nishara</b:First>
          </b:Person>
          <b:Person>
            <b:Last>Vithanage</b:Last>
            <b:First>Chandrarathna</b:First>
          </b:Person>
          <b:Person>
            <b:Last>Ratnayake</b:Last>
            <b:First>Jayani</b:First>
          </b:Person>
          <b:Person>
            <b:Last>Ranawana</b:Last>
            <b:First>Chamathya</b:First>
          </b:Person>
        </b:NameList>
      </b:Author>
    </b:Author>
    <b:StandardNumber>2590-0617</b:StandardNumber>
    <b:URL>https://doi.org/10.1016/j.pdisas.2022.100231</b:URL>
    <b:RefOrder>42</b:RefOrder>
  </b:Source>
  <b:Source>
    <b:Tag>Sta</b:Tag>
    <b:SourceType>BookSection</b:SourceType>
    <b:Guid>{B6D3E5D8-D487-42BC-A355-F231871ADE2F}</b:Guid>
    <b:Title>The Circular Economy:A User’s Guide</b:Title>
    <b:URL>https://www.taylorfrancis.com/books/mono/10.4324/9780429259203/circular-economy-walter-stahel</b:URL>
    <b:Author>
      <b:Author>
        <b:NameList>
          <b:Person>
            <b:Last>Stahel </b:Last>
            <b:Middle>R</b:Middle>
            <b:First>Walter </b:First>
          </b:Person>
        </b:NameList>
      </b:Author>
      <b:Editor>
        <b:NameList>
          <b:Person>
            <b:Last>Foundation</b:Last>
            <b:First>Ellen</b:First>
            <b:Middle>MacArthur</b:Middle>
          </b:Person>
        </b:NameList>
      </b:Editor>
    </b:Author>
    <b:Year>2019</b:Year>
    <b:Publisher> Routledge</b:Publisher>
    <b:CountryRegion>London</b:CountryRegion>
    <b:StandardNumber>978-0-429-25920-3</b:StandardNumber>
    <b:RefOrder>1</b:RefOrder>
  </b:Source>
  <b:Source>
    <b:Tag>Ell13</b:Tag>
    <b:SourceType>Report</b:SourceType>
    <b:Guid>{DB82C7D8-1AC0-45B8-854D-176020C3396D}</b:Guid>
    <b:Title>Towards the Circular Economy</b:Title>
    <b:Year>2013</b:Year>
    <b:Author>
      <b:Author>
        <b:Corporate>Ellen MacArthur Foundation</b:Corporate>
      </b:Author>
    </b:Author>
    <b:URL>https://emf.thirdlight.com/link/x8ay372a3r11-k6775n/@/preview/1?o</b:URL>
    <b:RefOrder>3</b:RefOrder>
  </b:Source>
  <b:Source>
    <b:Tag>DeS22</b:Tag>
    <b:SourceType>InternetSite</b:SourceType>
    <b:Guid>{ABD19B8B-FE0C-4520-884E-1EFE41DD563C}</b:Guid>
    <b:Title>Sri Lanka construction industry hit by rupee fall, fuel and power crisis</b:Title>
    <b:Year>2022</b:Year>
    <b:YearAccessed>2022</b:YearAccessed>
    <b:MonthAccessed>11</b:MonthAccessed>
    <b:DayAccessed>26</b:DayAccessed>
    <b:URL>https://economynext.com/sri-lanka-construction-industry-hit-by-rupee-fall-fuel-and-power-crisis-93504/</b:URL>
    <b:Author>
      <b:Author>
        <b:NameList>
          <b:Person>
            <b:Last>De Silva </b:Last>
            <b:First>Dulya</b:First>
          </b:Person>
          <b:Person>
            <b:Last>Perera</b:Last>
            <b:First>Neshella</b:First>
          </b:Person>
        </b:NameList>
      </b:Author>
    </b:Author>
    <b:RefOrder>36</b:RefOrder>
  </b:Source>
  <b:Source>
    <b:Tag>Lei22</b:Tag>
    <b:SourceType>InternetSite</b:SourceType>
    <b:Guid>{9A61D2B1-87CF-4D15-9A06-900AA907F0AE}</b:Guid>
    <b:Author>
      <b:Author>
        <b:NameList>
          <b:Person>
            <b:Last>Steed</b:Last>
            <b:First>Leila</b:First>
          </b:Person>
        </b:NameList>
      </b:Author>
    </b:Author>
    <b:Title>Sri Lankan construction ‘in crisis’</b:Title>
    <b:Year>2022</b:Year>
    <b:YearAccessed>2022</b:YearAccessed>
    <b:MonthAccessed>11</b:MonthAccessed>
    <b:DayAccessed>26</b:DayAccessed>
    <b:URL>https://www.international-construction.com/news/Sri-Lankan-construction-in-crisis-/8022987.article</b:URL>
    <b:RefOrder>37</b:RefOrder>
  </b:Source>
  <b:Source>
    <b:Tag>Tha22</b:Tag>
    <b:SourceType>InternetSite</b:SourceType>
    <b:Guid>{B1F48B13-AF29-446C-BE5E-200B1850CB94}</b:Guid>
    <b:Author>
      <b:Author>
        <b:NameList>
          <b:Person>
            <b:Last>Razeek</b:Last>
            <b:First>Thameenah</b:First>
          </b:Person>
        </b:NameList>
      </b:Author>
    </b:Author>
    <b:Title>Construction industry on the verge of collapse</b:Title>
    <b:Year>2022</b:Year>
    <b:YearAccessed>2022</b:YearAccessed>
    <b:MonthAccessed>11</b:MonthAccessed>
    <b:DayAccessed>26</b:DayAccessed>
    <b:URL>https://ceylontoday.lk/2022/04/30/construction-industry-on-the-verge-of-collapse/</b:URL>
    <b:RefOrder>38</b:RefOrder>
  </b:Source>
</b:Sources>
</file>

<file path=customXml/itemProps1.xml><?xml version="1.0" encoding="utf-8"?>
<ds:datastoreItem xmlns:ds="http://schemas.openxmlformats.org/officeDocument/2006/customXml" ds:itemID="{E177187E-E236-40F9-8567-53E20C928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16</Pages>
  <Words>7187</Words>
  <Characters>40970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2024-06-09T05:21:00Z</cp:lastPrinted>
  <dcterms:created xsi:type="dcterms:W3CDTF">2024-06-09T10:01:00Z</dcterms:created>
  <dcterms:modified xsi:type="dcterms:W3CDTF">2024-06-09T23:12:00Z</dcterms:modified>
</cp:coreProperties>
</file>